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AD" w:rsidRDefault="00DD1A1C" w:rsidP="00D200CE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 w:rsidP="00D200CE">
      <w:pPr>
        <w:jc w:val="center"/>
      </w:pPr>
    </w:p>
    <w:p w:rsidR="00C4042C" w:rsidRPr="00D200CE" w:rsidRDefault="005E4591" w:rsidP="00D200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4042C" w:rsidRPr="00D200CE" w:rsidRDefault="00C4042C" w:rsidP="00D200CE">
      <w:pPr>
        <w:jc w:val="center"/>
        <w:rPr>
          <w:sz w:val="28"/>
          <w:szCs w:val="28"/>
        </w:rPr>
      </w:pPr>
      <w:r w:rsidRPr="00D200CE">
        <w:rPr>
          <w:sz w:val="28"/>
          <w:szCs w:val="28"/>
        </w:rPr>
        <w:t xml:space="preserve">ХАСАНСКОГО МУНИЦИПАЛЬНОГО </w:t>
      </w:r>
      <w:r w:rsidR="008C79F5">
        <w:rPr>
          <w:sz w:val="28"/>
          <w:szCs w:val="28"/>
        </w:rPr>
        <w:t>ОКРУГА</w:t>
      </w:r>
    </w:p>
    <w:p w:rsidR="00C4042C" w:rsidRDefault="002B3182" w:rsidP="00D200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2B3182" w:rsidRPr="00D200CE" w:rsidRDefault="002B3182" w:rsidP="00D200CE">
      <w:pPr>
        <w:jc w:val="center"/>
        <w:rPr>
          <w:sz w:val="28"/>
          <w:szCs w:val="28"/>
        </w:rPr>
      </w:pPr>
    </w:p>
    <w:p w:rsidR="008C79F5" w:rsidRPr="00C77A2E" w:rsidRDefault="00F32596" w:rsidP="00D200CE">
      <w:pPr>
        <w:jc w:val="center"/>
        <w:rPr>
          <w:b/>
          <w:sz w:val="28"/>
          <w:szCs w:val="28"/>
        </w:rPr>
      </w:pPr>
      <w:r w:rsidRPr="00C77A2E">
        <w:rPr>
          <w:b/>
          <w:sz w:val="28"/>
          <w:szCs w:val="28"/>
        </w:rPr>
        <w:t>РАСПОРЯЖЕНИЕ</w:t>
      </w:r>
      <w:r w:rsidR="00CE56B4" w:rsidRPr="00C77A2E">
        <w:rPr>
          <w:b/>
          <w:sz w:val="28"/>
          <w:szCs w:val="28"/>
        </w:rPr>
        <w:t xml:space="preserve"> </w:t>
      </w:r>
    </w:p>
    <w:p w:rsidR="002B3182" w:rsidRDefault="002B3182" w:rsidP="00D200CE">
      <w:pPr>
        <w:jc w:val="center"/>
        <w:rPr>
          <w:sz w:val="28"/>
          <w:szCs w:val="28"/>
        </w:rPr>
      </w:pPr>
    </w:p>
    <w:p w:rsidR="00C4042C" w:rsidRPr="00D200CE" w:rsidRDefault="00C4042C" w:rsidP="00D200CE">
      <w:pPr>
        <w:jc w:val="center"/>
        <w:rPr>
          <w:sz w:val="28"/>
          <w:szCs w:val="28"/>
        </w:rPr>
      </w:pPr>
      <w:proofErr w:type="spellStart"/>
      <w:r w:rsidRPr="00D200CE">
        <w:rPr>
          <w:sz w:val="28"/>
          <w:szCs w:val="28"/>
        </w:rPr>
        <w:t>п</w:t>
      </w:r>
      <w:r w:rsidR="00CC41AD" w:rsidRPr="00D200CE">
        <w:rPr>
          <w:sz w:val="28"/>
          <w:szCs w:val="28"/>
        </w:rPr>
        <w:t>гт</w:t>
      </w:r>
      <w:proofErr w:type="spellEnd"/>
      <w:r w:rsidRPr="00D200CE">
        <w:rPr>
          <w:sz w:val="28"/>
          <w:szCs w:val="28"/>
        </w:rPr>
        <w:t xml:space="preserve"> Славянка</w:t>
      </w:r>
    </w:p>
    <w:p w:rsidR="008A6A26" w:rsidRPr="00D200CE" w:rsidRDefault="008A6A26" w:rsidP="008A6A26">
      <w:pPr>
        <w:jc w:val="center"/>
        <w:rPr>
          <w:sz w:val="28"/>
          <w:szCs w:val="28"/>
        </w:rPr>
      </w:pPr>
    </w:p>
    <w:p w:rsidR="008A6A26" w:rsidRPr="00F870FD" w:rsidRDefault="00323C67" w:rsidP="008A6A26">
      <w:pPr>
        <w:jc w:val="center"/>
        <w:rPr>
          <w:b/>
          <w:color w:val="FFFFFF"/>
          <w:sz w:val="28"/>
          <w:szCs w:val="28"/>
        </w:rPr>
      </w:pPr>
      <w:r w:rsidRPr="00F870FD">
        <w:rPr>
          <w:b/>
          <w:color w:val="FFFFFF"/>
          <w:sz w:val="28"/>
          <w:szCs w:val="28"/>
        </w:rPr>
        <w:t>(ПРОЕКТ)</w:t>
      </w:r>
    </w:p>
    <w:p w:rsidR="00CC41AD" w:rsidRPr="00D200CE" w:rsidRDefault="002070A1" w:rsidP="008A6A26">
      <w:pPr>
        <w:rPr>
          <w:sz w:val="28"/>
          <w:szCs w:val="28"/>
        </w:rPr>
      </w:pPr>
      <w:r>
        <w:rPr>
          <w:sz w:val="28"/>
          <w:szCs w:val="28"/>
        </w:rPr>
        <w:t>14.01.</w:t>
      </w:r>
      <w:r w:rsidR="008E4674">
        <w:rPr>
          <w:sz w:val="28"/>
          <w:szCs w:val="28"/>
        </w:rPr>
        <w:t>202</w:t>
      </w:r>
      <w:r w:rsidR="00DF5CE9">
        <w:rPr>
          <w:sz w:val="28"/>
          <w:szCs w:val="28"/>
        </w:rPr>
        <w:t>5</w:t>
      </w:r>
      <w:r w:rsidR="008E4674">
        <w:rPr>
          <w:sz w:val="28"/>
          <w:szCs w:val="28"/>
        </w:rPr>
        <w:t xml:space="preserve"> г.</w:t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8A6A26" w:rsidRPr="00D200CE">
        <w:rPr>
          <w:sz w:val="28"/>
          <w:szCs w:val="28"/>
        </w:rPr>
        <w:tab/>
      </w:r>
      <w:r w:rsidR="00E048C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8A6A26" w:rsidRPr="00D200CE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 xml:space="preserve">09 </w:t>
      </w:r>
      <w:r w:rsidR="002400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40012">
        <w:rPr>
          <w:sz w:val="28"/>
          <w:szCs w:val="28"/>
        </w:rPr>
        <w:t>ра</w:t>
      </w:r>
      <w:proofErr w:type="spellEnd"/>
    </w:p>
    <w:p w:rsidR="00D200CE" w:rsidRDefault="00D200CE" w:rsidP="008A6A26">
      <w:pPr>
        <w:rPr>
          <w:sz w:val="28"/>
          <w:szCs w:val="28"/>
        </w:rPr>
      </w:pPr>
    </w:p>
    <w:p w:rsidR="001A58CE" w:rsidRPr="001A58CE" w:rsidRDefault="005B5E86" w:rsidP="00377B44">
      <w:pPr>
        <w:spacing w:line="240" w:lineRule="exact"/>
        <w:ind w:right="4820"/>
        <w:jc w:val="both"/>
        <w:rPr>
          <w:sz w:val="26"/>
          <w:szCs w:val="26"/>
        </w:rPr>
      </w:pPr>
      <w:r w:rsidRPr="001A58CE">
        <w:rPr>
          <w:sz w:val="26"/>
          <w:szCs w:val="26"/>
        </w:rPr>
        <w:t xml:space="preserve">Об утверждении </w:t>
      </w:r>
      <w:r w:rsidR="001A58CE">
        <w:rPr>
          <w:sz w:val="26"/>
          <w:szCs w:val="26"/>
        </w:rPr>
        <w:t>плана мероприятий</w:t>
      </w:r>
      <w:r w:rsidR="00CE304C">
        <w:rPr>
          <w:sz w:val="26"/>
          <w:szCs w:val="26"/>
        </w:rPr>
        <w:t xml:space="preserve"> («дорожной карты») </w:t>
      </w:r>
      <w:r w:rsidR="001A58CE">
        <w:rPr>
          <w:sz w:val="26"/>
          <w:szCs w:val="26"/>
        </w:rPr>
        <w:t>по снижению рисков нарушения</w:t>
      </w:r>
      <w:r w:rsidR="00CE304C">
        <w:rPr>
          <w:sz w:val="26"/>
          <w:szCs w:val="26"/>
        </w:rPr>
        <w:t> </w:t>
      </w:r>
      <w:r w:rsidR="001A58CE">
        <w:rPr>
          <w:sz w:val="26"/>
          <w:szCs w:val="26"/>
        </w:rPr>
        <w:t xml:space="preserve">антимонопольного </w:t>
      </w:r>
      <w:r w:rsidR="00CE304C">
        <w:rPr>
          <w:sz w:val="26"/>
          <w:szCs w:val="26"/>
        </w:rPr>
        <w:t>з</w:t>
      </w:r>
      <w:r w:rsidR="001A58CE">
        <w:rPr>
          <w:sz w:val="26"/>
          <w:szCs w:val="26"/>
        </w:rPr>
        <w:t xml:space="preserve">аконодательства администрации Хасанского муниципального </w:t>
      </w:r>
      <w:r w:rsidR="008C79F5">
        <w:rPr>
          <w:sz w:val="26"/>
          <w:szCs w:val="26"/>
        </w:rPr>
        <w:t>округа</w:t>
      </w:r>
      <w:r w:rsidR="001A58CE">
        <w:rPr>
          <w:sz w:val="26"/>
          <w:szCs w:val="26"/>
        </w:rPr>
        <w:t xml:space="preserve"> на 202</w:t>
      </w:r>
      <w:r w:rsidR="00DF5CE9">
        <w:rPr>
          <w:sz w:val="26"/>
          <w:szCs w:val="26"/>
        </w:rPr>
        <w:t>5</w:t>
      </w:r>
      <w:r w:rsidR="001A58CE">
        <w:rPr>
          <w:sz w:val="26"/>
          <w:szCs w:val="26"/>
        </w:rPr>
        <w:t xml:space="preserve"> год</w:t>
      </w:r>
    </w:p>
    <w:p w:rsidR="00FE3E28" w:rsidRPr="001A58CE" w:rsidRDefault="00FE3E28" w:rsidP="008A6A26">
      <w:pPr>
        <w:rPr>
          <w:sz w:val="26"/>
          <w:szCs w:val="26"/>
        </w:rPr>
      </w:pPr>
    </w:p>
    <w:p w:rsidR="00E048CE" w:rsidRPr="001A58CE" w:rsidRDefault="00F736DE" w:rsidP="00F73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58CE">
        <w:rPr>
          <w:sz w:val="26"/>
          <w:szCs w:val="26"/>
        </w:rPr>
        <w:t>В целях реализации Федерального закона от 26.07.2006 г. № 135-ФЗ «О защите конкуренции», Национального плана развития конкуренции в Российской Федерации на 20</w:t>
      </w:r>
      <w:r w:rsidR="00CE304C">
        <w:rPr>
          <w:sz w:val="26"/>
          <w:szCs w:val="26"/>
        </w:rPr>
        <w:t>21</w:t>
      </w:r>
      <w:r w:rsidRPr="001A58CE">
        <w:rPr>
          <w:sz w:val="26"/>
          <w:szCs w:val="26"/>
        </w:rPr>
        <w:t>-202</w:t>
      </w:r>
      <w:r w:rsidR="00CE304C">
        <w:rPr>
          <w:sz w:val="26"/>
          <w:szCs w:val="26"/>
        </w:rPr>
        <w:t>5</w:t>
      </w:r>
      <w:r w:rsidRPr="001A58CE">
        <w:rPr>
          <w:sz w:val="26"/>
          <w:szCs w:val="26"/>
        </w:rPr>
        <w:t xml:space="preserve"> годы, утвержденного </w:t>
      </w:r>
      <w:r w:rsidR="00CE304C">
        <w:rPr>
          <w:sz w:val="26"/>
          <w:szCs w:val="26"/>
        </w:rPr>
        <w:t>распоряжением Правительства</w:t>
      </w:r>
      <w:r w:rsidRPr="001A58CE">
        <w:rPr>
          <w:sz w:val="26"/>
          <w:szCs w:val="26"/>
        </w:rPr>
        <w:t xml:space="preserve"> Российской Федерации </w:t>
      </w:r>
      <w:r w:rsidR="00CE304C">
        <w:rPr>
          <w:sz w:val="26"/>
          <w:szCs w:val="26"/>
        </w:rPr>
        <w:t xml:space="preserve">  </w:t>
      </w:r>
      <w:r w:rsidRPr="001A58CE">
        <w:rPr>
          <w:sz w:val="26"/>
          <w:szCs w:val="26"/>
        </w:rPr>
        <w:t xml:space="preserve">от </w:t>
      </w:r>
      <w:r w:rsidR="00CE304C">
        <w:rPr>
          <w:sz w:val="26"/>
          <w:szCs w:val="26"/>
        </w:rPr>
        <w:t>02</w:t>
      </w:r>
      <w:r w:rsidRPr="001A58CE">
        <w:rPr>
          <w:sz w:val="26"/>
          <w:szCs w:val="26"/>
        </w:rPr>
        <w:t>.</w:t>
      </w:r>
      <w:r w:rsidR="00CE304C">
        <w:rPr>
          <w:sz w:val="26"/>
          <w:szCs w:val="26"/>
        </w:rPr>
        <w:t>09</w:t>
      </w:r>
      <w:r w:rsidRPr="001A58CE">
        <w:rPr>
          <w:sz w:val="26"/>
          <w:szCs w:val="26"/>
        </w:rPr>
        <w:t>.20</w:t>
      </w:r>
      <w:r w:rsidR="00CE304C">
        <w:rPr>
          <w:sz w:val="26"/>
          <w:szCs w:val="26"/>
        </w:rPr>
        <w:t>21</w:t>
      </w:r>
      <w:r w:rsidRPr="001A58CE">
        <w:rPr>
          <w:sz w:val="26"/>
          <w:szCs w:val="26"/>
        </w:rPr>
        <w:t xml:space="preserve"> г. </w:t>
      </w:r>
      <w:r w:rsidRPr="001A58CE">
        <w:rPr>
          <w:rStyle w:val="1pt"/>
          <w:sz w:val="26"/>
          <w:szCs w:val="26"/>
        </w:rPr>
        <w:t>№</w:t>
      </w:r>
      <w:r w:rsidR="00CE304C">
        <w:rPr>
          <w:rStyle w:val="1pt"/>
          <w:sz w:val="26"/>
          <w:szCs w:val="26"/>
        </w:rPr>
        <w:t xml:space="preserve"> 2424-р</w:t>
      </w:r>
      <w:r w:rsidRPr="001A58CE">
        <w:rPr>
          <w:sz w:val="26"/>
          <w:szCs w:val="26"/>
        </w:rPr>
        <w:t xml:space="preserve"> «</w:t>
      </w:r>
      <w:r w:rsidR="00CE304C">
        <w:rPr>
          <w:sz w:val="26"/>
          <w:szCs w:val="26"/>
        </w:rPr>
        <w:t xml:space="preserve">О национальном плане развития конкуренции в Российской Федерации на 2021-2025 годы», а </w:t>
      </w:r>
      <w:r w:rsidRPr="001A58CE">
        <w:rPr>
          <w:sz w:val="26"/>
          <w:szCs w:val="26"/>
        </w:rPr>
        <w:t xml:space="preserve">также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г. № 2258-р, руководствуясь Уставом Хасанского муниципального </w:t>
      </w:r>
      <w:r w:rsidR="008C79F5">
        <w:rPr>
          <w:sz w:val="26"/>
          <w:szCs w:val="26"/>
        </w:rPr>
        <w:t>округа</w:t>
      </w:r>
    </w:p>
    <w:p w:rsidR="00E048CE" w:rsidRPr="001A58CE" w:rsidRDefault="00E048CE" w:rsidP="00F73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36DE" w:rsidRPr="001A58CE" w:rsidRDefault="00F736DE" w:rsidP="001A58CE">
      <w:pPr>
        <w:pStyle w:val="3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1A58CE">
        <w:rPr>
          <w:spacing w:val="0"/>
          <w:sz w:val="26"/>
          <w:szCs w:val="26"/>
        </w:rPr>
        <w:t xml:space="preserve">1. Утвердить </w:t>
      </w:r>
      <w:r w:rsidR="001A58CE" w:rsidRPr="001A58CE">
        <w:rPr>
          <w:spacing w:val="0"/>
          <w:sz w:val="26"/>
          <w:szCs w:val="26"/>
        </w:rPr>
        <w:t xml:space="preserve">прилагаемый </w:t>
      </w:r>
      <w:r w:rsidRPr="001A58CE">
        <w:rPr>
          <w:spacing w:val="0"/>
          <w:sz w:val="26"/>
          <w:szCs w:val="26"/>
        </w:rPr>
        <w:t xml:space="preserve">план мероприятий </w:t>
      </w:r>
      <w:r w:rsidR="00CE304C">
        <w:rPr>
          <w:spacing w:val="0"/>
          <w:sz w:val="26"/>
          <w:szCs w:val="26"/>
        </w:rPr>
        <w:t xml:space="preserve">(«дорожная карта») </w:t>
      </w:r>
      <w:r w:rsidRPr="001A58CE">
        <w:rPr>
          <w:spacing w:val="0"/>
          <w:sz w:val="26"/>
          <w:szCs w:val="26"/>
        </w:rPr>
        <w:t>по снижению рисков нарушения антимонопольного законодательства администрации Хасанского муниципаль</w:t>
      </w:r>
      <w:r w:rsidR="003056FC" w:rsidRPr="001A58CE">
        <w:rPr>
          <w:spacing w:val="0"/>
          <w:sz w:val="26"/>
          <w:szCs w:val="26"/>
        </w:rPr>
        <w:t xml:space="preserve">ного </w:t>
      </w:r>
      <w:r w:rsidR="008C79F5">
        <w:rPr>
          <w:spacing w:val="0"/>
          <w:sz w:val="26"/>
          <w:szCs w:val="26"/>
        </w:rPr>
        <w:t>округа</w:t>
      </w:r>
      <w:r w:rsidR="003056FC" w:rsidRPr="001A58CE">
        <w:rPr>
          <w:spacing w:val="0"/>
          <w:sz w:val="26"/>
          <w:szCs w:val="26"/>
        </w:rPr>
        <w:t xml:space="preserve"> на 202</w:t>
      </w:r>
      <w:r w:rsidR="00A94D4D">
        <w:rPr>
          <w:spacing w:val="0"/>
          <w:sz w:val="26"/>
          <w:szCs w:val="26"/>
        </w:rPr>
        <w:t>5</w:t>
      </w:r>
      <w:r w:rsidR="003056FC" w:rsidRPr="001A58CE">
        <w:rPr>
          <w:spacing w:val="0"/>
          <w:sz w:val="26"/>
          <w:szCs w:val="26"/>
        </w:rPr>
        <w:t xml:space="preserve"> год (далее –</w:t>
      </w:r>
      <w:r w:rsidRPr="001A58CE">
        <w:rPr>
          <w:spacing w:val="0"/>
          <w:sz w:val="26"/>
          <w:szCs w:val="26"/>
        </w:rPr>
        <w:t xml:space="preserve"> план мероприятий).</w:t>
      </w:r>
    </w:p>
    <w:p w:rsidR="00F736DE" w:rsidRPr="001A58CE" w:rsidRDefault="001A58CE" w:rsidP="00F736DE">
      <w:pPr>
        <w:pStyle w:val="3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1A58CE">
        <w:rPr>
          <w:spacing w:val="0"/>
          <w:sz w:val="26"/>
          <w:szCs w:val="26"/>
        </w:rPr>
        <w:t>2</w:t>
      </w:r>
      <w:r w:rsidR="00F736DE" w:rsidRPr="001A58CE">
        <w:rPr>
          <w:spacing w:val="0"/>
          <w:sz w:val="26"/>
          <w:szCs w:val="26"/>
        </w:rPr>
        <w:t xml:space="preserve">. Руководителям структурных подразделений администрации Хасанского муниципального </w:t>
      </w:r>
      <w:r w:rsidR="008C79F5">
        <w:rPr>
          <w:spacing w:val="0"/>
          <w:sz w:val="26"/>
          <w:szCs w:val="26"/>
        </w:rPr>
        <w:t>округа</w:t>
      </w:r>
      <w:r w:rsidR="00F736DE" w:rsidRPr="001A58CE">
        <w:rPr>
          <w:spacing w:val="0"/>
          <w:sz w:val="26"/>
          <w:szCs w:val="26"/>
        </w:rPr>
        <w:t xml:space="preserve"> обеспечить реализацию плана мероприятий</w:t>
      </w:r>
      <w:r w:rsidRPr="001A58CE">
        <w:rPr>
          <w:spacing w:val="0"/>
          <w:sz w:val="26"/>
          <w:szCs w:val="26"/>
        </w:rPr>
        <w:t xml:space="preserve"> </w:t>
      </w:r>
      <w:r w:rsidR="00F736DE" w:rsidRPr="001A58CE">
        <w:rPr>
          <w:spacing w:val="0"/>
          <w:sz w:val="26"/>
          <w:szCs w:val="26"/>
        </w:rPr>
        <w:t>настоящего распоряжения.</w:t>
      </w:r>
    </w:p>
    <w:p w:rsidR="000351AA" w:rsidRPr="001A58CE" w:rsidRDefault="001A58CE" w:rsidP="00F736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8CE">
        <w:rPr>
          <w:rFonts w:ascii="Times New Roman" w:hAnsi="Times New Roman" w:cs="Times New Roman"/>
          <w:sz w:val="26"/>
          <w:szCs w:val="26"/>
        </w:rPr>
        <w:t>3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. Заместителям главы администрации Хасанского муниципального </w:t>
      </w:r>
      <w:r w:rsidR="008C79F5">
        <w:rPr>
          <w:rFonts w:ascii="Times New Roman" w:hAnsi="Times New Roman" w:cs="Times New Roman"/>
          <w:sz w:val="26"/>
          <w:szCs w:val="26"/>
        </w:rPr>
        <w:t>округа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</w:t>
      </w:r>
      <w:r w:rsidR="003056FC" w:rsidRPr="001A58CE">
        <w:rPr>
          <w:rFonts w:ascii="Times New Roman" w:hAnsi="Times New Roman" w:cs="Times New Roman"/>
          <w:sz w:val="26"/>
          <w:szCs w:val="26"/>
        </w:rPr>
        <w:t>по направлениям деятельности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в рамках выполнения возложенных функций </w:t>
      </w:r>
      <w:r w:rsidR="003056FC" w:rsidRPr="001A58CE">
        <w:rPr>
          <w:rFonts w:ascii="Times New Roman" w:hAnsi="Times New Roman" w:cs="Times New Roman"/>
          <w:sz w:val="26"/>
          <w:szCs w:val="26"/>
        </w:rPr>
        <w:t xml:space="preserve">курирующих заместителей </w:t>
      </w:r>
      <w:r w:rsidR="00F736DE" w:rsidRPr="001A58CE">
        <w:rPr>
          <w:rFonts w:ascii="Times New Roman" w:hAnsi="Times New Roman" w:cs="Times New Roman"/>
          <w:sz w:val="26"/>
          <w:szCs w:val="26"/>
        </w:rPr>
        <w:t>уполномоченн</w:t>
      </w:r>
      <w:r w:rsidR="003056FC" w:rsidRPr="001A58CE">
        <w:rPr>
          <w:rFonts w:ascii="Times New Roman" w:hAnsi="Times New Roman" w:cs="Times New Roman"/>
          <w:sz w:val="26"/>
          <w:szCs w:val="26"/>
        </w:rPr>
        <w:t>ых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3056FC" w:rsidRPr="001A58CE">
        <w:rPr>
          <w:rFonts w:ascii="Times New Roman" w:hAnsi="Times New Roman" w:cs="Times New Roman"/>
          <w:sz w:val="26"/>
          <w:szCs w:val="26"/>
        </w:rPr>
        <w:t>й</w:t>
      </w:r>
      <w:r w:rsidR="00F736DE" w:rsidRPr="001A58CE">
        <w:rPr>
          <w:rFonts w:ascii="Times New Roman" w:hAnsi="Times New Roman" w:cs="Times New Roman"/>
          <w:sz w:val="26"/>
          <w:szCs w:val="26"/>
        </w:rPr>
        <w:t>, ответственн</w:t>
      </w:r>
      <w:r w:rsidR="003056FC" w:rsidRPr="001A58CE">
        <w:rPr>
          <w:rFonts w:ascii="Times New Roman" w:hAnsi="Times New Roman" w:cs="Times New Roman"/>
          <w:sz w:val="26"/>
          <w:szCs w:val="26"/>
        </w:rPr>
        <w:t>ых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за функционирование системы внутреннего обеспечения соответствия требованиям антимонопольного законодательства деятельности администрации </w:t>
      </w:r>
      <w:r w:rsidR="003056FC" w:rsidRPr="001A58CE">
        <w:rPr>
          <w:rFonts w:ascii="Times New Roman" w:hAnsi="Times New Roman" w:cs="Times New Roman"/>
          <w:sz w:val="26"/>
          <w:szCs w:val="26"/>
        </w:rPr>
        <w:t>Хасанского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C79F5">
        <w:rPr>
          <w:rFonts w:ascii="Times New Roman" w:hAnsi="Times New Roman" w:cs="Times New Roman"/>
          <w:sz w:val="26"/>
          <w:szCs w:val="26"/>
        </w:rPr>
        <w:t>округа</w:t>
      </w:r>
      <w:r w:rsidR="00F736DE" w:rsidRPr="001A58CE">
        <w:rPr>
          <w:rFonts w:ascii="Times New Roman" w:hAnsi="Times New Roman" w:cs="Times New Roman"/>
          <w:sz w:val="26"/>
          <w:szCs w:val="26"/>
        </w:rPr>
        <w:t>,</w:t>
      </w:r>
      <w:r w:rsidR="003056FC" w:rsidRPr="001A58CE">
        <w:rPr>
          <w:rFonts w:ascii="Times New Roman" w:hAnsi="Times New Roman" w:cs="Times New Roman"/>
          <w:sz w:val="26"/>
          <w:szCs w:val="26"/>
        </w:rPr>
        <w:t xml:space="preserve"> осуществить</w:t>
      </w:r>
      <w:r w:rsidR="00F736DE" w:rsidRPr="001A58CE">
        <w:rPr>
          <w:rFonts w:ascii="Times New Roman" w:hAnsi="Times New Roman" w:cs="Times New Roman"/>
          <w:sz w:val="26"/>
          <w:szCs w:val="26"/>
        </w:rPr>
        <w:t xml:space="preserve"> мониторинг исполнения плана мероприятий по итогам отчетного года.</w:t>
      </w:r>
    </w:p>
    <w:p w:rsidR="009D1459" w:rsidRPr="001A58CE" w:rsidRDefault="001A58CE" w:rsidP="00F736DE">
      <w:pPr>
        <w:shd w:val="clear" w:color="auto" w:fill="FFFFFF"/>
        <w:ind w:firstLine="709"/>
        <w:jc w:val="both"/>
        <w:rPr>
          <w:sz w:val="26"/>
          <w:szCs w:val="26"/>
        </w:rPr>
      </w:pPr>
      <w:r w:rsidRPr="001A58CE">
        <w:rPr>
          <w:sz w:val="26"/>
          <w:szCs w:val="26"/>
        </w:rPr>
        <w:t>4</w:t>
      </w:r>
      <w:r w:rsidR="000351AA" w:rsidRPr="001A58CE">
        <w:rPr>
          <w:sz w:val="26"/>
          <w:szCs w:val="26"/>
        </w:rPr>
        <w:t xml:space="preserve">. Контроль за исполнением настоящего распоряжения </w:t>
      </w:r>
      <w:r w:rsidR="008C79F5">
        <w:rPr>
          <w:sz w:val="26"/>
          <w:szCs w:val="26"/>
        </w:rPr>
        <w:t>оставляю за собой</w:t>
      </w:r>
      <w:r w:rsidR="000351AA" w:rsidRPr="001A58CE">
        <w:rPr>
          <w:sz w:val="26"/>
          <w:szCs w:val="26"/>
        </w:rPr>
        <w:t>.</w:t>
      </w:r>
    </w:p>
    <w:p w:rsidR="00D200CE" w:rsidRPr="001A58CE" w:rsidRDefault="00D200CE" w:rsidP="00377B44">
      <w:pPr>
        <w:jc w:val="both"/>
        <w:rPr>
          <w:sz w:val="26"/>
          <w:szCs w:val="26"/>
        </w:rPr>
      </w:pPr>
    </w:p>
    <w:p w:rsidR="0092595F" w:rsidRPr="001A58CE" w:rsidRDefault="0092595F" w:rsidP="00377B44">
      <w:pPr>
        <w:jc w:val="both"/>
        <w:rPr>
          <w:sz w:val="26"/>
          <w:szCs w:val="26"/>
        </w:rPr>
      </w:pPr>
    </w:p>
    <w:p w:rsidR="00377B44" w:rsidRPr="001A58CE" w:rsidRDefault="00900F2B" w:rsidP="00377B44">
      <w:pPr>
        <w:spacing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377B44" w:rsidRPr="001A58C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77B44" w:rsidRPr="001A58CE">
        <w:rPr>
          <w:sz w:val="26"/>
          <w:szCs w:val="26"/>
        </w:rPr>
        <w:t xml:space="preserve"> Хасанского</w:t>
      </w:r>
    </w:p>
    <w:p w:rsidR="00D200CE" w:rsidRPr="001A58CE" w:rsidRDefault="00377B44" w:rsidP="00377B44">
      <w:pPr>
        <w:spacing w:line="240" w:lineRule="exact"/>
        <w:jc w:val="both"/>
        <w:rPr>
          <w:sz w:val="26"/>
          <w:szCs w:val="26"/>
        </w:rPr>
      </w:pPr>
      <w:r w:rsidRPr="001A58CE">
        <w:rPr>
          <w:sz w:val="26"/>
          <w:szCs w:val="26"/>
        </w:rPr>
        <w:t xml:space="preserve">муниципального </w:t>
      </w:r>
      <w:r w:rsidR="008C79F5">
        <w:rPr>
          <w:sz w:val="26"/>
          <w:szCs w:val="26"/>
        </w:rPr>
        <w:t>округа</w:t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</w:r>
      <w:r w:rsidRPr="001A58CE">
        <w:rPr>
          <w:sz w:val="26"/>
          <w:szCs w:val="26"/>
        </w:rPr>
        <w:tab/>
        <w:t xml:space="preserve">     </w:t>
      </w:r>
      <w:r w:rsidR="00900F2B">
        <w:rPr>
          <w:sz w:val="26"/>
          <w:szCs w:val="26"/>
        </w:rPr>
        <w:t xml:space="preserve">      </w:t>
      </w:r>
      <w:r w:rsidRPr="001A58CE">
        <w:rPr>
          <w:sz w:val="26"/>
          <w:szCs w:val="26"/>
        </w:rPr>
        <w:t xml:space="preserve">И.В. </w:t>
      </w:r>
      <w:r w:rsidR="00900F2B">
        <w:rPr>
          <w:sz w:val="26"/>
          <w:szCs w:val="26"/>
        </w:rPr>
        <w:t>Старцева</w:t>
      </w:r>
    </w:p>
    <w:p w:rsidR="00D17856" w:rsidRPr="001A58CE" w:rsidRDefault="00D17856" w:rsidP="00377B44">
      <w:pPr>
        <w:spacing w:line="240" w:lineRule="exact"/>
        <w:jc w:val="both"/>
        <w:rPr>
          <w:sz w:val="26"/>
          <w:szCs w:val="26"/>
        </w:rPr>
        <w:sectPr w:rsidR="00D17856" w:rsidRPr="001A58CE" w:rsidSect="009654B4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17856" w:rsidRPr="00556202" w:rsidRDefault="00D17856" w:rsidP="00D17856">
      <w:pPr>
        <w:jc w:val="both"/>
        <w:rPr>
          <w:color w:val="FFFFFF"/>
          <w:sz w:val="28"/>
          <w:szCs w:val="28"/>
        </w:rPr>
      </w:pPr>
      <w:r w:rsidRPr="00556202">
        <w:rPr>
          <w:color w:val="FFFFFF"/>
          <w:sz w:val="28"/>
          <w:szCs w:val="28"/>
        </w:rPr>
        <w:lastRenderedPageBreak/>
        <w:t>(ПРОЕКТ)</w:t>
      </w: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Default="00D17856" w:rsidP="00D17856">
      <w:pPr>
        <w:jc w:val="both"/>
        <w:rPr>
          <w:sz w:val="28"/>
          <w:szCs w:val="28"/>
        </w:rPr>
      </w:pPr>
    </w:p>
    <w:p w:rsidR="00D17856" w:rsidRPr="001A58CE" w:rsidRDefault="00D17856" w:rsidP="0084121B">
      <w:pPr>
        <w:widowControl w:val="0"/>
        <w:ind w:left="9356"/>
        <w:jc w:val="both"/>
        <w:rPr>
          <w:sz w:val="26"/>
          <w:szCs w:val="26"/>
        </w:rPr>
      </w:pPr>
      <w:r w:rsidRPr="001A58CE">
        <w:rPr>
          <w:sz w:val="26"/>
          <w:szCs w:val="26"/>
        </w:rPr>
        <w:t>Приложение</w:t>
      </w:r>
    </w:p>
    <w:p w:rsidR="00D17856" w:rsidRPr="001A58CE" w:rsidRDefault="00D17856" w:rsidP="0084121B">
      <w:pPr>
        <w:widowControl w:val="0"/>
        <w:ind w:left="9356"/>
        <w:jc w:val="both"/>
        <w:rPr>
          <w:sz w:val="26"/>
          <w:szCs w:val="26"/>
        </w:rPr>
      </w:pPr>
      <w:r w:rsidRPr="001A58CE">
        <w:rPr>
          <w:sz w:val="26"/>
          <w:szCs w:val="26"/>
        </w:rPr>
        <w:t xml:space="preserve">к распоряжению администрации Хасанского муниципального </w:t>
      </w:r>
      <w:r w:rsidR="008C79F5">
        <w:rPr>
          <w:sz w:val="26"/>
          <w:szCs w:val="26"/>
        </w:rPr>
        <w:t>округа</w:t>
      </w:r>
    </w:p>
    <w:p w:rsidR="00D17856" w:rsidRPr="001A58CE" w:rsidRDefault="00D17856" w:rsidP="00D17856">
      <w:pPr>
        <w:spacing w:line="240" w:lineRule="exact"/>
        <w:ind w:left="9356"/>
        <w:jc w:val="both"/>
        <w:rPr>
          <w:sz w:val="26"/>
          <w:szCs w:val="26"/>
        </w:rPr>
      </w:pPr>
      <w:r w:rsidRPr="001A58CE">
        <w:rPr>
          <w:sz w:val="26"/>
          <w:szCs w:val="26"/>
        </w:rPr>
        <w:t xml:space="preserve">от </w:t>
      </w:r>
      <w:r w:rsidR="002070A1">
        <w:rPr>
          <w:sz w:val="26"/>
          <w:szCs w:val="26"/>
        </w:rPr>
        <w:t>14.01.</w:t>
      </w:r>
      <w:r w:rsidR="00864F1A">
        <w:rPr>
          <w:sz w:val="26"/>
          <w:szCs w:val="26"/>
        </w:rPr>
        <w:t>202</w:t>
      </w:r>
      <w:r w:rsidR="00A94D4D">
        <w:rPr>
          <w:sz w:val="26"/>
          <w:szCs w:val="26"/>
        </w:rPr>
        <w:t>5</w:t>
      </w:r>
      <w:r w:rsidR="00864F1A">
        <w:rPr>
          <w:sz w:val="26"/>
          <w:szCs w:val="26"/>
        </w:rPr>
        <w:t xml:space="preserve"> г. </w:t>
      </w:r>
      <w:r w:rsidRPr="001A58CE">
        <w:rPr>
          <w:sz w:val="26"/>
          <w:szCs w:val="26"/>
        </w:rPr>
        <w:t xml:space="preserve"> № </w:t>
      </w:r>
      <w:r w:rsidR="00A94D4D">
        <w:rPr>
          <w:sz w:val="26"/>
          <w:szCs w:val="26"/>
        </w:rPr>
        <w:t>_</w:t>
      </w:r>
      <w:r w:rsidR="002070A1">
        <w:rPr>
          <w:sz w:val="26"/>
          <w:szCs w:val="26"/>
        </w:rPr>
        <w:t>09</w:t>
      </w:r>
      <w:r w:rsidRPr="001A58CE">
        <w:rPr>
          <w:sz w:val="26"/>
          <w:szCs w:val="26"/>
        </w:rPr>
        <w:t>-ра</w:t>
      </w:r>
    </w:p>
    <w:p w:rsidR="00D17856" w:rsidRPr="001A58CE" w:rsidRDefault="00D17856" w:rsidP="00D17856">
      <w:pPr>
        <w:jc w:val="both"/>
        <w:rPr>
          <w:sz w:val="26"/>
          <w:szCs w:val="26"/>
        </w:rPr>
      </w:pPr>
    </w:p>
    <w:p w:rsidR="00D17856" w:rsidRPr="001A58CE" w:rsidRDefault="00D17856" w:rsidP="00D17856">
      <w:pPr>
        <w:jc w:val="center"/>
        <w:rPr>
          <w:sz w:val="26"/>
          <w:szCs w:val="26"/>
        </w:rPr>
      </w:pPr>
      <w:r w:rsidRPr="001A58CE">
        <w:rPr>
          <w:sz w:val="26"/>
          <w:szCs w:val="26"/>
        </w:rPr>
        <w:t xml:space="preserve">План мероприятий («дорожная карта») по снижению рисков нарушения антимонопольного законодательства администрации Хасанского муниципального </w:t>
      </w:r>
      <w:r w:rsidR="008C79F5">
        <w:rPr>
          <w:sz w:val="26"/>
          <w:szCs w:val="26"/>
        </w:rPr>
        <w:t>округа</w:t>
      </w:r>
      <w:r w:rsidRPr="001A58CE">
        <w:rPr>
          <w:sz w:val="26"/>
          <w:szCs w:val="26"/>
        </w:rPr>
        <w:t xml:space="preserve"> на 202</w:t>
      </w:r>
      <w:r w:rsidR="00A94D4D">
        <w:rPr>
          <w:sz w:val="26"/>
          <w:szCs w:val="26"/>
        </w:rPr>
        <w:t>5</w:t>
      </w:r>
      <w:r w:rsidRPr="001A58CE">
        <w:rPr>
          <w:sz w:val="26"/>
          <w:szCs w:val="26"/>
        </w:rPr>
        <w:t xml:space="preserve"> год</w:t>
      </w:r>
    </w:p>
    <w:p w:rsidR="00D17856" w:rsidRDefault="00D17856" w:rsidP="00D178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551"/>
        <w:gridCol w:w="5191"/>
        <w:gridCol w:w="2180"/>
        <w:gridCol w:w="3650"/>
      </w:tblGrid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17856" w:rsidRPr="000B781D" w:rsidRDefault="00D17856" w:rsidP="00FA0BAB">
            <w:pPr>
              <w:pStyle w:val="3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0B781D">
              <w:rPr>
                <w:rStyle w:val="2"/>
                <w:rFonts w:eastAsia="Candara"/>
                <w:b/>
              </w:rPr>
              <w:t>Краткое описание комплаенс-риска</w:t>
            </w:r>
          </w:p>
        </w:tc>
        <w:tc>
          <w:tcPr>
            <w:tcW w:w="5191" w:type="dxa"/>
          </w:tcPr>
          <w:p w:rsidR="00D17856" w:rsidRPr="000B781D" w:rsidRDefault="00D17856" w:rsidP="00FA0BAB">
            <w:pPr>
              <w:jc w:val="center"/>
              <w:rPr>
                <w:b/>
                <w:sz w:val="20"/>
                <w:szCs w:val="20"/>
              </w:rPr>
            </w:pPr>
            <w:r w:rsidRPr="000B781D">
              <w:rPr>
                <w:rStyle w:val="2"/>
                <w:rFonts w:eastAsia="Candara"/>
                <w:b/>
              </w:rPr>
              <w:t>Наименование мероприятий по минимизации и устранению комплаенс-рисков</w:t>
            </w:r>
          </w:p>
        </w:tc>
        <w:tc>
          <w:tcPr>
            <w:tcW w:w="2180" w:type="dxa"/>
          </w:tcPr>
          <w:p w:rsidR="00D17856" w:rsidRPr="000B781D" w:rsidRDefault="00D17856" w:rsidP="00FA0BAB">
            <w:pPr>
              <w:pStyle w:val="3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0B781D">
              <w:rPr>
                <w:rStyle w:val="2"/>
                <w:rFonts w:eastAsia="Candara"/>
                <w:b/>
              </w:rPr>
              <w:t>Срок исполнения</w:t>
            </w:r>
          </w:p>
        </w:tc>
        <w:tc>
          <w:tcPr>
            <w:tcW w:w="3650" w:type="dxa"/>
          </w:tcPr>
          <w:p w:rsidR="00D17856" w:rsidRPr="000B781D" w:rsidRDefault="00D17856" w:rsidP="00FA0BAB">
            <w:pPr>
              <w:jc w:val="center"/>
              <w:rPr>
                <w:b/>
                <w:sz w:val="20"/>
                <w:szCs w:val="20"/>
              </w:rPr>
            </w:pPr>
            <w:r w:rsidRPr="000B781D">
              <w:rPr>
                <w:rStyle w:val="2"/>
                <w:rFonts w:eastAsia="Candara"/>
                <w:b/>
              </w:rPr>
              <w:t xml:space="preserve">Наименование структурного подразделения </w:t>
            </w:r>
            <w:bookmarkStart w:id="0" w:name="_GoBack"/>
            <w:bookmarkEnd w:id="0"/>
            <w:r w:rsidRPr="000B781D">
              <w:rPr>
                <w:rStyle w:val="2"/>
                <w:rFonts w:eastAsia="Candara"/>
                <w:b/>
              </w:rPr>
              <w:t>администрации Хасанского муниципального района, ответственное за выполнение мероприятий по минимизации и устранению комплаенс-рисков</w:t>
            </w:r>
          </w:p>
        </w:tc>
      </w:tr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Ознакомление руководителей структурных подразделений и сотрудников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с правовыми актами, регулирующими организацию антимонопольного комплаенса в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2180" w:type="dxa"/>
          </w:tcPr>
          <w:p w:rsidR="00D17856" w:rsidRPr="00AF43F0" w:rsidRDefault="000B781D" w:rsidP="00FA0BAB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50" w:type="dxa"/>
          </w:tcPr>
          <w:p w:rsidR="00D17856" w:rsidRPr="00AF43F0" w:rsidRDefault="008E4674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  <w:r w:rsidR="00864F1A">
              <w:rPr>
                <w:rStyle w:val="2"/>
                <w:rFonts w:eastAsia="Candara"/>
              </w:rPr>
              <w:t>, по мере необходимости</w:t>
            </w:r>
          </w:p>
        </w:tc>
      </w:tr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Участие сотрудников уполномоченных подразделений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в обучении в формате ВКС по организации системы внутреннего обеспечения соответствия требованиям антимонопольного законодательства в администрациях муниципальных и городских округов края</w:t>
            </w:r>
          </w:p>
        </w:tc>
        <w:tc>
          <w:tcPr>
            <w:tcW w:w="2180" w:type="dxa"/>
          </w:tcPr>
          <w:p w:rsidR="00D17856" w:rsidRPr="00AF43F0" w:rsidRDefault="000B781D" w:rsidP="00FA0BAB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50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</w:tr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Организация обучения сотрудников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по вопросам организации системы внутреннего обеспечения соответствия требованиям антимонопольного законодательства </w:t>
            </w:r>
            <w:r w:rsidRPr="00AF43F0">
              <w:rPr>
                <w:rStyle w:val="2"/>
                <w:rFonts w:eastAsia="Candara"/>
              </w:rPr>
              <w:lastRenderedPageBreak/>
              <w:t xml:space="preserve">в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2180" w:type="dxa"/>
          </w:tcPr>
          <w:p w:rsidR="00D17856" w:rsidRPr="00AF43F0" w:rsidRDefault="000B781D" w:rsidP="00FA0BAB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650" w:type="dxa"/>
          </w:tcPr>
          <w:p w:rsidR="00D17856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"/>
                <w:rFonts w:eastAsia="Candara"/>
              </w:rPr>
              <w:t xml:space="preserve">   О</w:t>
            </w:r>
            <w:r w:rsidR="00D17856" w:rsidRPr="00AF43F0">
              <w:rPr>
                <w:rStyle w:val="2"/>
                <w:rFonts w:eastAsia="Candara"/>
              </w:rPr>
              <w:t>тдел</w:t>
            </w:r>
            <w:r>
              <w:rPr>
                <w:rStyle w:val="2"/>
                <w:rFonts w:eastAsia="Candara"/>
              </w:rPr>
              <w:t xml:space="preserve"> муниципальной службы</w:t>
            </w:r>
            <w:r w:rsidR="00D17856" w:rsidRPr="00AF43F0">
              <w:rPr>
                <w:rStyle w:val="2"/>
                <w:rFonts w:eastAsia="Candara"/>
              </w:rPr>
              <w:t xml:space="preserve">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</w:tr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Подготовка проектов о внесении изменений в положения об управлениях, отделах, должностные инструкции сотрудников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в части обеспечения организации и функционирования антимонопольного комплаенса</w:t>
            </w:r>
          </w:p>
        </w:tc>
        <w:tc>
          <w:tcPr>
            <w:tcW w:w="2180" w:type="dxa"/>
          </w:tcPr>
          <w:p w:rsidR="00D17856" w:rsidRPr="00AF43F0" w:rsidRDefault="000B781D" w:rsidP="00FA0BAB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50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</w:tr>
      <w:tr w:rsidR="00D17856" w:rsidRPr="00AF43F0" w:rsidTr="000B781D">
        <w:tc>
          <w:tcPr>
            <w:tcW w:w="988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17856" w:rsidRPr="00AF43F0" w:rsidRDefault="00D17856" w:rsidP="00FA0BAB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D17856" w:rsidRPr="00AF43F0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Подготовка перечня действующих нормативных правовых актов для проведения анализа на предмет выявления рисков нарушения антимонопольного законодательства и размещение на официальном сайте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2180" w:type="dxa"/>
          </w:tcPr>
          <w:p w:rsidR="00D17856" w:rsidRPr="00AF43F0" w:rsidRDefault="000B781D" w:rsidP="00FA0BAB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650" w:type="dxa"/>
          </w:tcPr>
          <w:p w:rsidR="00D17856" w:rsidRDefault="00D17856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rStyle w:val="2"/>
                <w:rFonts w:eastAsia="Candara"/>
              </w:rPr>
            </w:pPr>
            <w:r w:rsidRPr="00AF43F0">
              <w:rPr>
                <w:rStyle w:val="2"/>
                <w:rFonts w:eastAsia="Candara"/>
              </w:rPr>
              <w:t xml:space="preserve">Общий отдел администрации Хасанского муниципального </w:t>
            </w:r>
            <w:r w:rsidR="008C79F5">
              <w:rPr>
                <w:rStyle w:val="2"/>
                <w:rFonts w:eastAsia="Candara"/>
              </w:rPr>
              <w:t>округа</w:t>
            </w:r>
          </w:p>
          <w:p w:rsidR="00240012" w:rsidRPr="00240012" w:rsidRDefault="00240012" w:rsidP="00FA0BAB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</w:pPr>
            <w:r w:rsidRPr="00240012">
              <w:t xml:space="preserve">Отдел </w:t>
            </w:r>
            <w:r w:rsidR="00557B42">
              <w:t xml:space="preserve">информационной политики, информатизации </w:t>
            </w:r>
            <w:r w:rsidRPr="00240012">
              <w:t xml:space="preserve">и информационной безопасности администрации Хасанского муниципального </w:t>
            </w:r>
            <w:r w:rsidR="00557B42"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Проведение правовой экспертизы действующих нормативных правовых актов на соответствие антимонопольному законодательству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до 31.12.202</w:t>
            </w:r>
            <w:r w:rsidR="00A94D4D">
              <w:rPr>
                <w:rStyle w:val="2"/>
                <w:rFonts w:eastAsia="Candara"/>
              </w:rPr>
              <w:t>5</w:t>
            </w:r>
            <w:r w:rsidRPr="00AF43F0">
              <w:rPr>
                <w:rStyle w:val="2"/>
                <w:rFonts w:eastAsia="Candara"/>
              </w:rPr>
              <w:t xml:space="preserve"> г.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Правовое управление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Анализ данных практики применения администрацией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антимонопольного законодательства и предоставление данных для включения в ежегодный доклад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об антимонопольном комплаенсе в </w:t>
            </w:r>
            <w:r w:rsidR="00557B42">
              <w:rPr>
                <w:rStyle w:val="2"/>
                <w:rFonts w:eastAsia="Candara"/>
              </w:rPr>
              <w:t xml:space="preserve">управление экономики и проектного управления </w:t>
            </w:r>
            <w:r w:rsidRPr="00AF43F0">
              <w:rPr>
                <w:rStyle w:val="2"/>
                <w:rFonts w:eastAsia="Candara"/>
              </w:rPr>
              <w:t xml:space="preserve">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</w:t>
            </w:r>
            <w:r w:rsidR="00A94D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Консультирование сотрудников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по вопросам, связанным с соблюдением антимонопольного законодательства и антимонопольным комплаенсом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2"/>
                <w:rFonts w:eastAsia="Candara"/>
              </w:rPr>
              <w:t>П</w:t>
            </w:r>
            <w:r w:rsidRPr="00AF43F0">
              <w:rPr>
                <w:rStyle w:val="2"/>
                <w:rFonts w:eastAsia="Candara"/>
              </w:rPr>
              <w:t xml:space="preserve">равовое управление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Оценка ключевых показателей эффективности функционирования антимонопольного комплаенса в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по итогам 202</w:t>
            </w:r>
            <w:r w:rsidR="00A94D4D">
              <w:rPr>
                <w:rStyle w:val="2"/>
                <w:rFonts w:eastAsia="Candara"/>
              </w:rPr>
              <w:t>5</w:t>
            </w:r>
            <w:r w:rsidRPr="00AF43F0">
              <w:rPr>
                <w:rStyle w:val="2"/>
                <w:rFonts w:eastAsia="Candara"/>
              </w:rPr>
              <w:t xml:space="preserve"> года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до </w:t>
            </w:r>
            <w:r>
              <w:rPr>
                <w:rStyle w:val="2"/>
                <w:rFonts w:eastAsia="Candara"/>
              </w:rPr>
              <w:t>15</w:t>
            </w:r>
            <w:r w:rsidRPr="00AF43F0">
              <w:rPr>
                <w:rStyle w:val="2"/>
                <w:rFonts w:eastAsia="Candara"/>
              </w:rPr>
              <w:t>.0</w:t>
            </w:r>
            <w:r>
              <w:rPr>
                <w:rStyle w:val="2"/>
                <w:rFonts w:eastAsia="Candara"/>
              </w:rPr>
              <w:t>1</w:t>
            </w:r>
            <w:r w:rsidRPr="00AF43F0">
              <w:rPr>
                <w:rStyle w:val="2"/>
                <w:rFonts w:eastAsia="Candara"/>
              </w:rPr>
              <w:t>.202</w:t>
            </w:r>
            <w:r w:rsidR="00A94D4D">
              <w:rPr>
                <w:rStyle w:val="2"/>
                <w:rFonts w:eastAsia="Candara"/>
              </w:rPr>
              <w:t>6</w:t>
            </w:r>
            <w:r w:rsidRPr="00AF43F0">
              <w:rPr>
                <w:rStyle w:val="2"/>
                <w:rFonts w:eastAsia="Candara"/>
              </w:rPr>
              <w:t xml:space="preserve"> г.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Все комплаенс-риски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Подготовка ежегодного доклада об антимонопольном комплаенсе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до </w:t>
            </w:r>
            <w:r>
              <w:rPr>
                <w:rStyle w:val="2"/>
                <w:rFonts w:eastAsia="Candara"/>
              </w:rPr>
              <w:t>01</w:t>
            </w:r>
            <w:r w:rsidRPr="00AF43F0">
              <w:rPr>
                <w:rStyle w:val="2"/>
                <w:rFonts w:eastAsia="Candara"/>
              </w:rPr>
              <w:t>.02.202</w:t>
            </w:r>
            <w:r w:rsidR="00A94D4D">
              <w:rPr>
                <w:rStyle w:val="2"/>
                <w:rFonts w:eastAsia="Candara"/>
              </w:rPr>
              <w:t>6</w:t>
            </w:r>
            <w:r w:rsidRPr="00AF43F0">
              <w:rPr>
                <w:rStyle w:val="2"/>
                <w:rFonts w:eastAsia="Candara"/>
              </w:rPr>
              <w:t xml:space="preserve"> г.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>
              <w:rPr>
                <w:rStyle w:val="2"/>
                <w:rFonts w:eastAsia="Candara"/>
              </w:rPr>
              <w:t>, свод управление экономики</w:t>
            </w:r>
            <w:r w:rsidR="00557B42">
              <w:rPr>
                <w:rStyle w:val="2"/>
                <w:rFonts w:eastAsia="Candara"/>
              </w:rPr>
              <w:t xml:space="preserve"> и проектного управления</w:t>
            </w:r>
            <w:r>
              <w:rPr>
                <w:rStyle w:val="2"/>
                <w:rFonts w:eastAsia="Candara"/>
              </w:rPr>
              <w:t xml:space="preserve">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Риск наличия в проектах НПА положений, которые могут привести к недопущению, ограничению или устранению конкуренции на рынках товаров, работ, услуг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Проведение анализа проектов НПА на предмет выявления рисков нарушения антимонопольного законодательства при участии организаций и граждан в соответствии с Положением об антимонопольном комплаенсе и Методическими рекомендациями по анализу НПА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Правовое управление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, все структурные подразделения администрации Хасанского муниципального </w:t>
            </w:r>
            <w:r w:rsidR="00557B42"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Риск нарушения антимонопольных требований к торгам, запросу котировок цен на товары, запросу предложений (далее - закупочные процедуры) при проведении закупок товаров, работ, услуг для муниципальных нужд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Изучение нормативной правовой базы в сфере закупок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557B4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2"/>
                <w:rFonts w:eastAsia="Candara"/>
              </w:rPr>
              <w:t>Управление</w:t>
            </w:r>
            <w:r w:rsidR="00240012" w:rsidRPr="00AF43F0">
              <w:rPr>
                <w:rStyle w:val="2"/>
                <w:rFonts w:eastAsia="Candara"/>
              </w:rPr>
              <w:t xml:space="preserve"> контрактной службы администрации Хасанского муниципального </w:t>
            </w:r>
            <w:r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Риск реализации муниципального имущества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с нарушением установленного порядка, предусмотренного Федеральным законом от 21.12.2001 г. № 178-</w:t>
            </w:r>
            <w:r w:rsidRPr="00AF43F0">
              <w:rPr>
                <w:rStyle w:val="2"/>
                <w:rFonts w:eastAsia="Candara"/>
              </w:rPr>
              <w:lastRenderedPageBreak/>
              <w:t>ФЗ «О приватизации государственного и</w:t>
            </w:r>
            <w:r w:rsidRPr="00AF43F0">
              <w:rPr>
                <w:rStyle w:val="Candara14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3F0">
              <w:rPr>
                <w:rStyle w:val="2"/>
                <w:rFonts w:eastAsia="Candara"/>
              </w:rPr>
              <w:t>муниципального имущества»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lastRenderedPageBreak/>
              <w:t>Проведение внутреннего контроля. Мониторинг практики применения антимонопольного законодательства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10pt0pt"/>
              </w:rPr>
              <w:t xml:space="preserve">Управление </w:t>
            </w:r>
            <w:hyperlink r:id="rId9" w:history="1">
              <w:r w:rsidR="00CC427E">
                <w:t>имущественных и земельных отношений</w:t>
              </w:r>
              <w:r w:rsidRPr="00EB6B59">
                <w:rPr>
                  <w:rStyle w:val="10pt0pt"/>
                </w:rPr>
                <w:t xml:space="preserve"> администрации Хасанского муниципального </w:t>
              </w:r>
              <w:r w:rsidR="00CC427E">
                <w:rPr>
                  <w:rStyle w:val="10pt0pt"/>
                </w:rPr>
                <w:t>округа</w:t>
              </w:r>
            </w:hyperlink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Риск заключения договоров в отношении муниципального имущества с нарушением порядка, предусмотренного статьей 17.1 Федерального закона от 26.07.2006г. № 1Э5-ФЗ «О защите конкуренции»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Осуществление контроля соблюдения действующего антимонопольного законодательства. Мониторинг и анализ практики применения антимонопольного законодательства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>
              <w:rPr>
                <w:rStyle w:val="2"/>
                <w:rFonts w:eastAsia="Candara"/>
              </w:rPr>
              <w:t>в</w:t>
            </w:r>
            <w:r w:rsidRPr="00AF43F0">
              <w:rPr>
                <w:rStyle w:val="2"/>
                <w:rFonts w:eastAsia="Candara"/>
              </w:rPr>
              <w:t xml:space="preserve"> течение года</w:t>
            </w:r>
          </w:p>
        </w:tc>
        <w:tc>
          <w:tcPr>
            <w:tcW w:w="3650" w:type="dxa"/>
          </w:tcPr>
          <w:p w:rsidR="00240012" w:rsidRPr="00AF43F0" w:rsidRDefault="00CC427E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10pt0pt"/>
              </w:rPr>
              <w:t xml:space="preserve">Управление </w:t>
            </w:r>
            <w:hyperlink r:id="rId10" w:history="1">
              <w:r>
                <w:t>имущественных и земельных отношений</w:t>
              </w:r>
              <w:r w:rsidRPr="00EB6B59">
                <w:rPr>
                  <w:rStyle w:val="10pt0pt"/>
                </w:rPr>
                <w:t xml:space="preserve"> администрации Хасанского муниципального </w:t>
              </w:r>
              <w:r>
                <w:rPr>
                  <w:rStyle w:val="10pt0pt"/>
                </w:rPr>
                <w:t>округа</w:t>
              </w:r>
            </w:hyperlink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Риск необоснованного воспрепятствования осуществлению деятельности хозяйствующими субъектами вследствие нарушения сроков оказания муниципальных услуг. Необоснованного отказа в предоставлении муниципальных услуг.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>Контроль соблюдения сроков, предусмотренных административными регламентами оказания муниципальных услуг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  <w:r>
              <w:rPr>
                <w:rStyle w:val="2"/>
                <w:rFonts w:eastAsia="Candara"/>
              </w:rPr>
              <w:t>, оказывающие муниципальные услуги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Риск нарушения порядка признания победителя, определения поставщика (подрядчика, исполнителя) требованиям законодательства </w:t>
            </w:r>
            <w:r w:rsidRPr="00AF43F0">
              <w:rPr>
                <w:rStyle w:val="2"/>
                <w:rFonts w:eastAsia="Candara"/>
              </w:rPr>
              <w:lastRenderedPageBreak/>
              <w:t>Российской Федерации о контрактной системе в сфере закупок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lastRenderedPageBreak/>
              <w:t xml:space="preserve">Мониторинг и анализ практики применения антимонопольного законодательства. 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CC427E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rStyle w:val="2"/>
                <w:rFonts w:eastAsia="Candara"/>
              </w:rPr>
              <w:t>Управление</w:t>
            </w:r>
            <w:r w:rsidR="00240012" w:rsidRPr="00AF43F0">
              <w:rPr>
                <w:rStyle w:val="2"/>
                <w:rFonts w:eastAsia="Candara"/>
              </w:rPr>
              <w:t xml:space="preserve"> контрактной службы администрации Хасанского муниципального </w:t>
            </w:r>
            <w:r>
              <w:rPr>
                <w:rStyle w:val="2"/>
                <w:rFonts w:eastAsia="Candara"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 w:rsidRPr="00AF43F0">
              <w:rPr>
                <w:sz w:val="20"/>
                <w:szCs w:val="20"/>
              </w:rPr>
              <w:t>1</w:t>
            </w:r>
            <w:r w:rsidR="00713BC6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Риск нарушения антимонопольного законодательства в сфере ЖКХ, дорожного хозяйства, архитектуры и строительства в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Изучение федеральной нормативной базы в сфере ЖКХ, дорожного хозяйства, архитектуре и строительства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и НПА</w:t>
            </w:r>
            <w:r w:rsidRPr="00AF43F0">
              <w:rPr>
                <w:rStyle w:val="Candara14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3F0">
              <w:rPr>
                <w:rStyle w:val="2"/>
                <w:rFonts w:eastAsia="Candara"/>
              </w:rPr>
              <w:t>местного уровня, разработанных на основании федерального законодательства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CC427E" w:rsidP="00CC427E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10pt0pt"/>
              </w:rPr>
              <w:t xml:space="preserve">   </w:t>
            </w:r>
            <w:r w:rsidR="00240012">
              <w:rPr>
                <w:rStyle w:val="10pt0pt"/>
              </w:rPr>
              <w:t>Управление</w:t>
            </w:r>
            <w:r>
              <w:rPr>
                <w:rStyle w:val="10pt0pt"/>
              </w:rPr>
              <w:t xml:space="preserve"> жизнеобеспечения </w:t>
            </w:r>
            <w:r w:rsidR="00240012">
              <w:rPr>
                <w:rStyle w:val="10pt0pt"/>
              </w:rPr>
              <w:t xml:space="preserve"> </w:t>
            </w:r>
            <w:hyperlink r:id="rId11" w:history="1">
              <w:r w:rsidR="00240012" w:rsidRPr="00CF23AB">
                <w:rPr>
                  <w:rStyle w:val="10pt0pt"/>
                </w:rPr>
                <w:t xml:space="preserve">администрации Хасанского муниципального </w:t>
              </w:r>
              <w:r>
                <w:rPr>
                  <w:rStyle w:val="10pt0pt"/>
                </w:rPr>
                <w:t>округа</w:t>
              </w:r>
            </w:hyperlink>
            <w:r w:rsidR="00240012" w:rsidRPr="00AF43F0">
              <w:rPr>
                <w:rStyle w:val="10pt0pt"/>
                <w:bCs/>
              </w:rPr>
              <w:t xml:space="preserve">, управление </w:t>
            </w:r>
            <w:r>
              <w:rPr>
                <w:rStyle w:val="10pt0pt"/>
                <w:bCs/>
              </w:rPr>
              <w:t xml:space="preserve">архитектуры и </w:t>
            </w:r>
            <w:r w:rsidR="00240012" w:rsidRPr="00AF43F0">
              <w:rPr>
                <w:rStyle w:val="10pt0pt"/>
                <w:bCs/>
              </w:rPr>
              <w:t xml:space="preserve">градостроительства администрации Хасанского муниципального </w:t>
            </w:r>
            <w:r>
              <w:rPr>
                <w:rStyle w:val="10pt0pt"/>
                <w:bCs/>
              </w:rPr>
              <w:t>округа</w:t>
            </w:r>
          </w:p>
        </w:tc>
      </w:tr>
      <w:tr w:rsidR="00240012" w:rsidRPr="00AF43F0" w:rsidTr="000B781D">
        <w:tc>
          <w:tcPr>
            <w:tcW w:w="988" w:type="dxa"/>
          </w:tcPr>
          <w:p w:rsidR="00240012" w:rsidRPr="00AF43F0" w:rsidRDefault="00240012" w:rsidP="0024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C6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Риск нарушения антимонопольного законодательства в сфере социальной политики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</w:p>
        </w:tc>
        <w:tc>
          <w:tcPr>
            <w:tcW w:w="5191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Изучение федеральной нормативной базы в сфере социальной политики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и НПА местного уровня, разработанных на основании федерального законодательства</w:t>
            </w:r>
          </w:p>
        </w:tc>
        <w:tc>
          <w:tcPr>
            <w:tcW w:w="218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 течение </w:t>
            </w:r>
            <w:r>
              <w:rPr>
                <w:rStyle w:val="2"/>
                <w:rFonts w:eastAsia="Candara"/>
              </w:rPr>
              <w:t>года</w:t>
            </w:r>
          </w:p>
        </w:tc>
        <w:tc>
          <w:tcPr>
            <w:tcW w:w="3650" w:type="dxa"/>
          </w:tcPr>
          <w:p w:rsidR="00240012" w:rsidRPr="00AF43F0" w:rsidRDefault="00240012" w:rsidP="00240012">
            <w:pPr>
              <w:pStyle w:val="3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AF43F0">
              <w:rPr>
                <w:rStyle w:val="2"/>
                <w:rFonts w:eastAsia="Candara"/>
              </w:rPr>
              <w:t xml:space="preserve">Все структурные подразделения и организации, подведомственные заместителю главы администрации Хасанского муниципального </w:t>
            </w:r>
            <w:r w:rsidR="00CC427E">
              <w:rPr>
                <w:rStyle w:val="2"/>
                <w:rFonts w:eastAsia="Candara"/>
              </w:rPr>
              <w:t>округа</w:t>
            </w:r>
            <w:r w:rsidRPr="00AF43F0">
              <w:rPr>
                <w:rStyle w:val="2"/>
                <w:rFonts w:eastAsia="Candara"/>
              </w:rPr>
              <w:t xml:space="preserve"> по социальным вопросам</w:t>
            </w:r>
          </w:p>
        </w:tc>
      </w:tr>
    </w:tbl>
    <w:p w:rsidR="00D17856" w:rsidRDefault="00D17856" w:rsidP="00D17856">
      <w:pPr>
        <w:spacing w:line="240" w:lineRule="exact"/>
        <w:jc w:val="both"/>
        <w:rPr>
          <w:sz w:val="28"/>
          <w:szCs w:val="28"/>
        </w:rPr>
      </w:pPr>
    </w:p>
    <w:sectPr w:rsidR="00D17856" w:rsidSect="00FA0BAB">
      <w:headerReference w:type="default" r:id="rId12"/>
      <w:pgSz w:w="16838" w:h="11906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E6" w:rsidRDefault="002F45E6" w:rsidP="00287A46">
      <w:r>
        <w:separator/>
      </w:r>
    </w:p>
  </w:endnote>
  <w:endnote w:type="continuationSeparator" w:id="0">
    <w:p w:rsidR="002F45E6" w:rsidRDefault="002F45E6" w:rsidP="002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E6" w:rsidRDefault="002F45E6" w:rsidP="00287A46">
      <w:r>
        <w:separator/>
      </w:r>
    </w:p>
  </w:footnote>
  <w:footnote w:type="continuationSeparator" w:id="0">
    <w:p w:rsidR="002F45E6" w:rsidRDefault="002F45E6" w:rsidP="0028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46" w:rsidRDefault="00EB7BD4" w:rsidP="00287A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7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46" w:rsidRDefault="00EB7BD4" w:rsidP="00287A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79A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6B09"/>
    <w:multiLevelType w:val="multilevel"/>
    <w:tmpl w:val="FA008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7D"/>
    <w:rsid w:val="0000674F"/>
    <w:rsid w:val="00025951"/>
    <w:rsid w:val="000351AA"/>
    <w:rsid w:val="00040BCE"/>
    <w:rsid w:val="00047DA2"/>
    <w:rsid w:val="00080507"/>
    <w:rsid w:val="0008579A"/>
    <w:rsid w:val="000B5C41"/>
    <w:rsid w:val="000B781D"/>
    <w:rsid w:val="000C495F"/>
    <w:rsid w:val="000E057D"/>
    <w:rsid w:val="001001BD"/>
    <w:rsid w:val="00173272"/>
    <w:rsid w:val="001858B6"/>
    <w:rsid w:val="001A58CE"/>
    <w:rsid w:val="002070A1"/>
    <w:rsid w:val="00240012"/>
    <w:rsid w:val="00287A46"/>
    <w:rsid w:val="0029574C"/>
    <w:rsid w:val="002A2F15"/>
    <w:rsid w:val="002B3182"/>
    <w:rsid w:val="002D2EAB"/>
    <w:rsid w:val="002F45E6"/>
    <w:rsid w:val="003056FC"/>
    <w:rsid w:val="00310E1D"/>
    <w:rsid w:val="00323C67"/>
    <w:rsid w:val="00324031"/>
    <w:rsid w:val="003530D6"/>
    <w:rsid w:val="00377B44"/>
    <w:rsid w:val="00393DC2"/>
    <w:rsid w:val="003D4D3E"/>
    <w:rsid w:val="003E43FA"/>
    <w:rsid w:val="004353FA"/>
    <w:rsid w:val="004857DB"/>
    <w:rsid w:val="004F6EAA"/>
    <w:rsid w:val="00523F82"/>
    <w:rsid w:val="00530C62"/>
    <w:rsid w:val="00551435"/>
    <w:rsid w:val="00557B42"/>
    <w:rsid w:val="00573490"/>
    <w:rsid w:val="00592CC5"/>
    <w:rsid w:val="005B5E86"/>
    <w:rsid w:val="005E0782"/>
    <w:rsid w:val="005E4591"/>
    <w:rsid w:val="005E5B7E"/>
    <w:rsid w:val="00704A5A"/>
    <w:rsid w:val="00713BC6"/>
    <w:rsid w:val="00742F80"/>
    <w:rsid w:val="00744165"/>
    <w:rsid w:val="00751FDB"/>
    <w:rsid w:val="0075311D"/>
    <w:rsid w:val="00775506"/>
    <w:rsid w:val="007D7737"/>
    <w:rsid w:val="007E035F"/>
    <w:rsid w:val="00810581"/>
    <w:rsid w:val="0084121B"/>
    <w:rsid w:val="00864F1A"/>
    <w:rsid w:val="008773DB"/>
    <w:rsid w:val="008872FF"/>
    <w:rsid w:val="008A6A26"/>
    <w:rsid w:val="008B2353"/>
    <w:rsid w:val="008C31EF"/>
    <w:rsid w:val="008C79F5"/>
    <w:rsid w:val="008E4674"/>
    <w:rsid w:val="00900F2B"/>
    <w:rsid w:val="00901278"/>
    <w:rsid w:val="0092595F"/>
    <w:rsid w:val="009654B4"/>
    <w:rsid w:val="009D0729"/>
    <w:rsid w:val="009D1459"/>
    <w:rsid w:val="009D6567"/>
    <w:rsid w:val="009E68E9"/>
    <w:rsid w:val="009F45A6"/>
    <w:rsid w:val="00A16C5B"/>
    <w:rsid w:val="00A26B53"/>
    <w:rsid w:val="00A86DF7"/>
    <w:rsid w:val="00A94D4D"/>
    <w:rsid w:val="00A955A1"/>
    <w:rsid w:val="00AB5972"/>
    <w:rsid w:val="00AF21BF"/>
    <w:rsid w:val="00B3594D"/>
    <w:rsid w:val="00B5727C"/>
    <w:rsid w:val="00BA43B1"/>
    <w:rsid w:val="00BF7C27"/>
    <w:rsid w:val="00C30621"/>
    <w:rsid w:val="00C4042C"/>
    <w:rsid w:val="00C77A2E"/>
    <w:rsid w:val="00C94F6D"/>
    <w:rsid w:val="00CC41AD"/>
    <w:rsid w:val="00CC427E"/>
    <w:rsid w:val="00CE304C"/>
    <w:rsid w:val="00CE56B4"/>
    <w:rsid w:val="00CE6829"/>
    <w:rsid w:val="00D038B0"/>
    <w:rsid w:val="00D15674"/>
    <w:rsid w:val="00D16230"/>
    <w:rsid w:val="00D17856"/>
    <w:rsid w:val="00D200CE"/>
    <w:rsid w:val="00D2136E"/>
    <w:rsid w:val="00D35CA2"/>
    <w:rsid w:val="00D50DF6"/>
    <w:rsid w:val="00D60488"/>
    <w:rsid w:val="00DD1A1C"/>
    <w:rsid w:val="00DE0DF2"/>
    <w:rsid w:val="00DF5CE9"/>
    <w:rsid w:val="00E048CE"/>
    <w:rsid w:val="00E05A5D"/>
    <w:rsid w:val="00E44872"/>
    <w:rsid w:val="00E879C0"/>
    <w:rsid w:val="00EA6A8B"/>
    <w:rsid w:val="00EB7BD4"/>
    <w:rsid w:val="00EE5C9D"/>
    <w:rsid w:val="00F23D76"/>
    <w:rsid w:val="00F32596"/>
    <w:rsid w:val="00F401EF"/>
    <w:rsid w:val="00F504CB"/>
    <w:rsid w:val="00F55A25"/>
    <w:rsid w:val="00F735DA"/>
    <w:rsid w:val="00F736DE"/>
    <w:rsid w:val="00F858A2"/>
    <w:rsid w:val="00F870FD"/>
    <w:rsid w:val="00F94E4F"/>
    <w:rsid w:val="00FA0BAB"/>
    <w:rsid w:val="00FD667B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FD525"/>
  <w15:docId w15:val="{92D7AF2A-7931-4DC5-8A07-B75E4CB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E3E28"/>
    <w:rPr>
      <w:color w:val="0000FF"/>
      <w:u w:val="single"/>
    </w:rPr>
  </w:style>
  <w:style w:type="paragraph" w:customStyle="1" w:styleId="formattext">
    <w:name w:val="formattext"/>
    <w:basedOn w:val="a"/>
    <w:rsid w:val="00287A4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87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A4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87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A46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D7737"/>
    <w:pPr>
      <w:spacing w:line="360" w:lineRule="auto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D7737"/>
    <w:rPr>
      <w:sz w:val="28"/>
      <w:szCs w:val="28"/>
    </w:rPr>
  </w:style>
  <w:style w:type="paragraph" w:customStyle="1" w:styleId="ConsPlusNonformat">
    <w:name w:val="ConsPlusNonformat"/>
    <w:rsid w:val="000351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link w:val="ac"/>
    <w:qFormat/>
    <w:rsid w:val="005E5B7E"/>
    <w:rPr>
      <w:rFonts w:eastAsia="Calibri"/>
      <w:sz w:val="24"/>
      <w:lang w:eastAsia="en-US"/>
    </w:rPr>
  </w:style>
  <w:style w:type="character" w:customStyle="1" w:styleId="ac">
    <w:name w:val="Без интервала Знак"/>
    <w:link w:val="ab"/>
    <w:rsid w:val="005E5B7E"/>
    <w:rPr>
      <w:rFonts w:eastAsia="Calibri"/>
      <w:sz w:val="24"/>
      <w:lang w:eastAsia="en-US" w:bidi="ar-SA"/>
    </w:rPr>
  </w:style>
  <w:style w:type="character" w:customStyle="1" w:styleId="1pt">
    <w:name w:val="Основной текст + Интервал 1 pt"/>
    <w:basedOn w:val="a0"/>
    <w:rsid w:val="00F7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"/>
    <w:rsid w:val="00F736DE"/>
    <w:rPr>
      <w:spacing w:val="3"/>
      <w:sz w:val="22"/>
      <w:szCs w:val="22"/>
      <w:shd w:val="clear" w:color="auto" w:fill="FFFFFF"/>
    </w:rPr>
  </w:style>
  <w:style w:type="character" w:customStyle="1" w:styleId="Candara14pt0pt">
    <w:name w:val="Подпись к картинке + Candara;14 pt;Не полужирный;Курсив;Интервал 0 pt"/>
    <w:basedOn w:val="a0"/>
    <w:rsid w:val="00F736DE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3">
    <w:name w:val="Основной текст3"/>
    <w:basedOn w:val="a"/>
    <w:link w:val="ad"/>
    <w:rsid w:val="00F736DE"/>
    <w:pPr>
      <w:widowControl w:val="0"/>
      <w:shd w:val="clear" w:color="auto" w:fill="FFFFFF"/>
      <w:spacing w:before="240" w:after="360" w:line="0" w:lineRule="atLeast"/>
      <w:jc w:val="center"/>
    </w:pPr>
    <w:rPr>
      <w:spacing w:val="3"/>
      <w:sz w:val="22"/>
      <w:szCs w:val="22"/>
    </w:rPr>
  </w:style>
  <w:style w:type="character" w:customStyle="1" w:styleId="2">
    <w:name w:val="Основной текст2"/>
    <w:basedOn w:val="ad"/>
    <w:rsid w:val="00D17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D17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m-hasan.ru/assets/files/OfInformation/Post-Rasp2020/19p367-pa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im-hasan.ru/assets/files/OfInformation/Post-Rasp2020/19p367-p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-hasan.ru/assets/files/OfInformation/Post-Rasp2020/19p367-pa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69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10003</CharactersWithSpaces>
  <SharedDoc>false</SharedDoc>
  <HLinks>
    <vt:vector size="24" baseType="variant">
      <vt:variant>
        <vt:i4>5046338</vt:i4>
      </vt:variant>
      <vt:variant>
        <vt:i4>9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https://prim-hasan.ru/assets/files/OfInformation/Post-Rasp2020/19p367-pa.docx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TLG</cp:lastModifiedBy>
  <cp:revision>10</cp:revision>
  <cp:lastPrinted>2025-01-09T07:24:00Z</cp:lastPrinted>
  <dcterms:created xsi:type="dcterms:W3CDTF">2023-01-13T05:48:00Z</dcterms:created>
  <dcterms:modified xsi:type="dcterms:W3CDTF">2025-01-15T23:57:00Z</dcterms:modified>
</cp:coreProperties>
</file>