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FF108E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 w:rsidR="00FF108E">
        <w:rPr>
          <w:rFonts w:ascii="Times New Roman" w:hAnsi="Times New Roman" w:cs="Times New Roman"/>
          <w:sz w:val="26"/>
          <w:szCs w:val="26"/>
        </w:rPr>
        <w:t xml:space="preserve"> (на плановый период 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A42C11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D707F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17 февраля</w:t>
      </w:r>
      <w:r w:rsidR="00EA15F5" w:rsidRPr="00A42C11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A42C11">
        <w:rPr>
          <w:rFonts w:ascii="Times New Roman" w:hAnsi="Times New Roman" w:cs="Times New Roman"/>
          <w:sz w:val="26"/>
          <w:szCs w:val="26"/>
        </w:rPr>
        <w:t>20</w:t>
      </w:r>
      <w:r w:rsidR="009A4839" w:rsidRPr="00A42C1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41"/>
        <w:gridCol w:w="1514"/>
        <w:gridCol w:w="1498"/>
      </w:tblGrid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0B0041">
              <w:rPr>
                <w:sz w:val="26"/>
                <w:szCs w:val="26"/>
              </w:rPr>
              <w:t>Хасан</w:t>
            </w:r>
            <w:r w:rsidR="00D721DE" w:rsidRPr="00D721DE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3213A6" w:rsidRPr="00D721DE" w:rsidRDefault="003213A6" w:rsidP="003213A6">
            <w:pPr>
              <w:rPr>
                <w:sz w:val="26"/>
                <w:szCs w:val="26"/>
              </w:rPr>
            </w:pP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27B3E" w:rsidP="00FD707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0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A4B9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D7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035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FD7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035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827B3E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</w:t>
            </w:r>
            <w:r w:rsidRPr="00A42C11">
              <w:rPr>
                <w:sz w:val="20"/>
              </w:rPr>
              <w:t xml:space="preserve">муниципальном задании на </w:t>
            </w:r>
            <w:r w:rsidR="00EA15F5" w:rsidRPr="00A42C11">
              <w:rPr>
                <w:sz w:val="20"/>
              </w:rPr>
              <w:t>202</w:t>
            </w:r>
            <w:r w:rsidR="00AA4B99">
              <w:rPr>
                <w:sz w:val="20"/>
              </w:rPr>
              <w:t>4</w:t>
            </w:r>
            <w:r w:rsidR="00EA15F5" w:rsidRPr="00A42C11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6A4BC0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6A4BC0" w:rsidRDefault="00380F65" w:rsidP="009D6E92">
            <w:pPr>
              <w:jc w:val="center"/>
            </w:pPr>
            <w:r w:rsidRPr="006A4BC0">
              <w:t>100</w:t>
            </w:r>
          </w:p>
        </w:tc>
        <w:tc>
          <w:tcPr>
            <w:tcW w:w="1058" w:type="dxa"/>
          </w:tcPr>
          <w:p w:rsidR="00D76CE9" w:rsidRPr="006A4BC0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6A4BC0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6A4BC0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6A4BC0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6A4BC0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6A4BC0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6A4BC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6A4BC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6A4BC0" w:rsidRDefault="006A4BC0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5</w:t>
            </w:r>
          </w:p>
          <w:p w:rsidR="00DB0367" w:rsidRPr="006A4BC0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046DDC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046DDC">
              <w:rPr>
                <w:szCs w:val="24"/>
              </w:rPr>
              <w:tab/>
            </w:r>
            <w:r w:rsidR="00380F65" w:rsidRPr="00046D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046DDC" w:rsidRDefault="00984E60" w:rsidP="00E425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046DDC" w:rsidRDefault="00984E60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046DDC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046DDC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046DDC" w:rsidRDefault="00380F65" w:rsidP="001F259D">
            <w:pPr>
              <w:tabs>
                <w:tab w:val="left" w:pos="419"/>
              </w:tabs>
              <w:jc w:val="center"/>
            </w:pPr>
            <w:r w:rsidRPr="00046DDC">
              <w:t>100</w:t>
            </w:r>
          </w:p>
          <w:p w:rsidR="00FD2846" w:rsidRPr="00046DDC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046DDC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046DDC" w:rsidRDefault="008F6121" w:rsidP="001F259D">
            <w:pPr>
              <w:jc w:val="center"/>
            </w:pPr>
          </w:p>
          <w:p w:rsidR="008F6121" w:rsidRPr="00046DDC" w:rsidRDefault="00984E60" w:rsidP="009D6E92">
            <w:pPr>
              <w:tabs>
                <w:tab w:val="left" w:pos="445"/>
              </w:tabs>
              <w:jc w:val="center"/>
            </w:pPr>
            <w:r>
              <w:t>100</w:t>
            </w:r>
          </w:p>
          <w:p w:rsidR="00B27EC2" w:rsidRPr="00046DDC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984E6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1137B8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AA4B99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A4B99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A4B99" w:rsidRDefault="00A569F3" w:rsidP="00A569F3">
            <w:pPr>
              <w:pStyle w:val="ConsPlusNormal"/>
              <w:jc w:val="center"/>
              <w:rPr>
                <w:szCs w:val="24"/>
              </w:rPr>
            </w:pPr>
            <w:r w:rsidRPr="00AA4B99">
              <w:rPr>
                <w:szCs w:val="24"/>
              </w:rPr>
              <w:t>6,5</w:t>
            </w:r>
          </w:p>
        </w:tc>
        <w:tc>
          <w:tcPr>
            <w:tcW w:w="1058" w:type="dxa"/>
          </w:tcPr>
          <w:p w:rsidR="00D76CE9" w:rsidRPr="00AA4B99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046DDC" w:rsidRPr="00AA4B99" w:rsidRDefault="00046DDC" w:rsidP="00046DDC">
            <w:pPr>
              <w:pStyle w:val="ConsPlusNormal"/>
              <w:rPr>
                <w:szCs w:val="24"/>
              </w:rPr>
            </w:pPr>
          </w:p>
          <w:p w:rsidR="00FD2846" w:rsidRPr="00AA4B99" w:rsidRDefault="00A569F3" w:rsidP="00E42545">
            <w:pPr>
              <w:pStyle w:val="ConsPlusNormal"/>
              <w:jc w:val="center"/>
              <w:rPr>
                <w:szCs w:val="24"/>
              </w:rPr>
            </w:pPr>
            <w:r w:rsidRPr="00AA4B99">
              <w:rPr>
                <w:szCs w:val="24"/>
              </w:rPr>
              <w:t>5,25</w:t>
            </w:r>
          </w:p>
        </w:tc>
        <w:tc>
          <w:tcPr>
            <w:tcW w:w="937" w:type="dxa"/>
          </w:tcPr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46DDC" w:rsidRDefault="00DB0367" w:rsidP="001F259D">
            <w:pPr>
              <w:jc w:val="center"/>
            </w:pPr>
          </w:p>
          <w:p w:rsidR="00FD2846" w:rsidRPr="00046DDC" w:rsidRDefault="006A4BC0" w:rsidP="001F259D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046DDC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046DDC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D76CE9" w:rsidRPr="00046DDC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046DDC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046DDC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46DDC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E42545">
        <w:trPr>
          <w:trHeight w:val="176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046DDC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380F65" w:rsidP="00E42545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D76CE9" w:rsidRPr="00046DDC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046DDC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046DDC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FD2846" w:rsidRPr="00E42545" w:rsidRDefault="00790C24" w:rsidP="00E42545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984E60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984E60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  <w:p w:rsidR="00B60D68" w:rsidRPr="00984E60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984E6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984E60" w:rsidP="00790C2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984E6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984E6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4F4461" w:rsidRDefault="000701AC" w:rsidP="00805AFD">
            <w:pPr>
              <w:pStyle w:val="ConsPlusNormal"/>
              <w:rPr>
                <w:szCs w:val="24"/>
              </w:rPr>
            </w:pPr>
          </w:p>
          <w:p w:rsidR="00B60D68" w:rsidRPr="004F4461" w:rsidRDefault="006A4BC0" w:rsidP="006A4BC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4F4461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4F4461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7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A569F3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058" w:type="dxa"/>
          </w:tcPr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A569F3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4F4461" w:rsidRDefault="00BF6C90" w:rsidP="00BF6C90">
            <w:pPr>
              <w:pStyle w:val="ConsPlusNormal"/>
              <w:rPr>
                <w:sz w:val="16"/>
                <w:szCs w:val="16"/>
              </w:rPr>
            </w:pPr>
            <w:r w:rsidRPr="004F4461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4F4461">
              <w:rPr>
                <w:sz w:val="16"/>
                <w:szCs w:val="16"/>
              </w:rPr>
              <w:t>подтверж</w:t>
            </w:r>
            <w:proofErr w:type="spellEnd"/>
            <w:r w:rsidR="001348B7" w:rsidRPr="004F4461">
              <w:rPr>
                <w:sz w:val="16"/>
                <w:szCs w:val="16"/>
              </w:rPr>
              <w:t>-</w:t>
            </w:r>
            <w:r w:rsidRPr="004F4461">
              <w:rPr>
                <w:sz w:val="16"/>
                <w:szCs w:val="16"/>
              </w:rPr>
              <w:t>дать</w:t>
            </w:r>
            <w:proofErr w:type="gramEnd"/>
            <w:r w:rsidRPr="004F4461">
              <w:rPr>
                <w:sz w:val="16"/>
                <w:szCs w:val="16"/>
              </w:rPr>
              <w:t xml:space="preserve"> квалификацию</w:t>
            </w:r>
            <w:r w:rsidR="00E42545">
              <w:rPr>
                <w:sz w:val="16"/>
                <w:szCs w:val="16"/>
              </w:rPr>
              <w:t xml:space="preserve"> - 2</w:t>
            </w: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5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058" w:type="dxa"/>
          </w:tcPr>
          <w:p w:rsidR="00BF6C90" w:rsidRPr="004F4461" w:rsidRDefault="00BF6C90" w:rsidP="006C06B1">
            <w:pPr>
              <w:pStyle w:val="ConsPlusNormal"/>
              <w:rPr>
                <w:szCs w:val="24"/>
              </w:rPr>
            </w:pPr>
          </w:p>
          <w:p w:rsidR="004E7E53" w:rsidRPr="004F4461" w:rsidRDefault="00A569F3" w:rsidP="00E425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5,8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1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569F3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4F4461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7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B60D68" w:rsidRPr="004F4461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4F4461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4F4461">
              <w:rPr>
                <w:szCs w:val="24"/>
              </w:rPr>
              <w:tab/>
            </w:r>
          </w:p>
          <w:p w:rsidR="00B60D68" w:rsidRPr="004F4461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4F4461">
              <w:rPr>
                <w:szCs w:val="24"/>
              </w:rPr>
              <w:tab/>
            </w:r>
            <w:r w:rsidR="006900BC" w:rsidRPr="004F4461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4F4461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1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6A4BC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6A4BC0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6A4BC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6A4BC0" w:rsidRDefault="00AA4B99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86</w:t>
            </w:r>
          </w:p>
        </w:tc>
        <w:tc>
          <w:tcPr>
            <w:tcW w:w="937" w:type="dxa"/>
          </w:tcPr>
          <w:p w:rsidR="001F259D" w:rsidRPr="006A4BC0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6A4BC0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A4BC0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6A4BC0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5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096A68">
              <w:rPr>
                <w:sz w:val="18"/>
                <w:szCs w:val="18"/>
              </w:rPr>
              <w:t>обучающихся</w:t>
            </w:r>
            <w:proofErr w:type="gramEnd"/>
            <w:r w:rsidR="00026638" w:rsidRPr="00096A68">
              <w:rPr>
                <w:sz w:val="18"/>
                <w:szCs w:val="18"/>
              </w:rPr>
              <w:t>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793F5B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793F5B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793F5B" w:rsidRDefault="006978F8" w:rsidP="00630C0B">
            <w:pPr>
              <w:pStyle w:val="ConsPlusNormal"/>
              <w:jc w:val="center"/>
              <w:rPr>
                <w:szCs w:val="24"/>
              </w:rPr>
            </w:pPr>
            <w:r w:rsidRPr="00793F5B">
              <w:rPr>
                <w:szCs w:val="24"/>
              </w:rPr>
              <w:t>3</w:t>
            </w:r>
            <w:r w:rsidR="006A4BC0" w:rsidRPr="00793F5B">
              <w:rPr>
                <w:szCs w:val="24"/>
              </w:rPr>
              <w:t>6,4</w:t>
            </w:r>
          </w:p>
        </w:tc>
        <w:tc>
          <w:tcPr>
            <w:tcW w:w="1058" w:type="dxa"/>
          </w:tcPr>
          <w:p w:rsidR="00026638" w:rsidRPr="00793F5B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793F5B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793F5B" w:rsidRDefault="00793F5B" w:rsidP="0090486E">
            <w:pPr>
              <w:pStyle w:val="ConsPlusNormal"/>
              <w:rPr>
                <w:szCs w:val="24"/>
              </w:rPr>
            </w:pPr>
            <w:r w:rsidRPr="00793F5B">
              <w:rPr>
                <w:szCs w:val="24"/>
              </w:rPr>
              <w:t>44,8</w:t>
            </w:r>
          </w:p>
          <w:p w:rsidR="006900BC" w:rsidRPr="00793F5B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911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42545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90486E" w:rsidP="0090486E">
            <w:pPr>
              <w:pStyle w:val="ConsPlusNormal"/>
              <w:rPr>
                <w:szCs w:val="24"/>
              </w:rPr>
            </w:pPr>
            <w:r w:rsidRPr="0090486E">
              <w:rPr>
                <w:szCs w:val="24"/>
              </w:rPr>
              <w:t>40</w:t>
            </w:r>
          </w:p>
          <w:p w:rsidR="00B60D68" w:rsidRPr="0090486E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90486E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90486E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90486E" w:rsidP="006A755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40</w:t>
            </w:r>
          </w:p>
        </w:tc>
        <w:tc>
          <w:tcPr>
            <w:tcW w:w="93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90486E" w:rsidP="006978F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90486E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0005A4" w:rsidP="000005A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3,4</w:t>
            </w: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265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90486E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90486E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90486E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</w:t>
            </w:r>
            <w:r w:rsidR="00BE3526"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597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90486E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90486E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90486E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  <w:p w:rsidR="004B2800" w:rsidRPr="0090486E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90486E" w:rsidRDefault="0090486E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32A8F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90486E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EA15F5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90486E"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90486E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90486E" w:rsidRDefault="0090486E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1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rPr>
                <w:szCs w:val="24"/>
              </w:rPr>
            </w:pPr>
          </w:p>
          <w:p w:rsidR="004B2800" w:rsidRPr="0090486E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90486E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90486E" w:rsidP="00F04D4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9A2C05" w:rsidRPr="0090486E" w:rsidRDefault="009A2C05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6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EA15F5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790C24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90486E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90486E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90486E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A569F3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68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9302C1" w:rsidRPr="00096A68" w:rsidRDefault="009302C1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</w:p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3E6DCB" w:rsidRPr="0090486E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90486E">
              <w:rPr>
                <w:szCs w:val="24"/>
              </w:rPr>
              <w:tab/>
            </w:r>
          </w:p>
          <w:p w:rsidR="004B2800" w:rsidRPr="0090486E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90486E">
              <w:rPr>
                <w:szCs w:val="24"/>
              </w:rPr>
              <w:tab/>
            </w:r>
            <w:r w:rsidR="00E74997"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3E6DCB" w:rsidRPr="0090486E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C52F44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790C24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90486E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90486E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3E6DCB" w:rsidRPr="0090486E" w:rsidRDefault="0090486E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05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90486E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3</w:t>
            </w:r>
            <w:r w:rsidR="006978F8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E42545" w:rsidRDefault="00E42545" w:rsidP="003E6DC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3F5B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37,5</w:t>
            </w:r>
          </w:p>
          <w:p w:rsidR="006900BC" w:rsidRPr="0090486E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90486E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0005A4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0005A4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B27EC2" w:rsidP="00C428E5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2</w:t>
            </w:r>
            <w:r w:rsidR="0090486E" w:rsidRPr="0090486E">
              <w:rPr>
                <w:szCs w:val="24"/>
              </w:rPr>
              <w:t>6</w:t>
            </w:r>
          </w:p>
        </w:tc>
        <w:tc>
          <w:tcPr>
            <w:tcW w:w="902" w:type="dxa"/>
          </w:tcPr>
          <w:p w:rsidR="003E6DCB" w:rsidRPr="0090486E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90486E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EF6966" w:rsidP="00A42C1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2</w:t>
            </w:r>
            <w:r w:rsidR="00FD707F">
              <w:rPr>
                <w:szCs w:val="24"/>
              </w:rPr>
              <w:t>5</w:t>
            </w:r>
          </w:p>
        </w:tc>
        <w:tc>
          <w:tcPr>
            <w:tcW w:w="903" w:type="dxa"/>
          </w:tcPr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AB7858" w:rsidRDefault="001E10C5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E10C5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1E10C5" w:rsidRDefault="000A5A94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0A5A94" w:rsidRPr="001E10C5" w:rsidRDefault="004E7E53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3</w:t>
            </w:r>
            <w:r w:rsidR="001E10C5" w:rsidRPr="001E10C5">
              <w:rPr>
                <w:szCs w:val="24"/>
              </w:rPr>
              <w:t>0</w:t>
            </w: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9D6E92" w:rsidRPr="001E10C5" w:rsidRDefault="009D6E92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560858" w:rsidRPr="001E10C5" w:rsidRDefault="00FD707F" w:rsidP="001E10C5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27</w:t>
            </w:r>
          </w:p>
          <w:p w:rsidR="00560858" w:rsidRPr="001E10C5" w:rsidRDefault="00560858" w:rsidP="001E10C5">
            <w:pPr>
              <w:pStyle w:val="ConsPlusNormal"/>
              <w:rPr>
                <w:szCs w:val="24"/>
              </w:rPr>
            </w:pP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1E10C5" w:rsidRDefault="000A5A94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0A5A94" w:rsidRPr="001E10C5" w:rsidRDefault="00072184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5</w:t>
            </w: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1E10C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1E10C5" w:rsidRDefault="001E10C5" w:rsidP="000A5A94">
            <w:pPr>
              <w:pStyle w:val="ConsPlusNormal"/>
              <w:jc w:val="center"/>
              <w:rPr>
                <w:szCs w:val="24"/>
              </w:rPr>
            </w:pPr>
            <w:r w:rsidRPr="001E10C5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6A7558" w:rsidRPr="001E10C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:rsidTr="00487909">
        <w:tc>
          <w:tcPr>
            <w:tcW w:w="1147" w:type="dxa"/>
          </w:tcPr>
          <w:p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1E10C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1E10C5" w:rsidRDefault="001E10C5" w:rsidP="000A5A94">
            <w:pPr>
              <w:pStyle w:val="ConsPlusNormal"/>
              <w:jc w:val="center"/>
              <w:rPr>
                <w:szCs w:val="24"/>
              </w:rPr>
            </w:pPr>
            <w:r w:rsidRPr="001E10C5">
              <w:rPr>
                <w:szCs w:val="24"/>
              </w:rPr>
              <w:t>10</w:t>
            </w:r>
          </w:p>
          <w:p w:rsidR="00F31EF8" w:rsidRPr="001E10C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1E10C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1E10C5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:rsidR="00F31EF8" w:rsidRPr="001E10C5" w:rsidRDefault="000005A4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903" w:type="dxa"/>
          </w:tcPr>
          <w:p w:rsidR="000A5A94" w:rsidRPr="001E10C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1E10C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1E10C5">
              <w:rPr>
                <w:szCs w:val="24"/>
              </w:rPr>
              <w:t>5</w:t>
            </w:r>
          </w:p>
          <w:p w:rsidR="00F31EF8" w:rsidRPr="001E10C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0B0041">
        <w:rPr>
          <w:rFonts w:ascii="Times New Roman" w:hAnsi="Times New Roman" w:cs="Times New Roman"/>
          <w:sz w:val="26"/>
          <w:szCs w:val="26"/>
        </w:rPr>
        <w:t>В.А. Карпов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979" w:rsidRDefault="00B57979">
      <w:r>
        <w:separator/>
      </w:r>
    </w:p>
  </w:endnote>
  <w:endnote w:type="continuationSeparator" w:id="0">
    <w:p w:rsidR="00B57979" w:rsidRDefault="00B5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979" w:rsidRDefault="00B57979">
      <w:r>
        <w:separator/>
      </w:r>
    </w:p>
  </w:footnote>
  <w:footnote w:type="continuationSeparator" w:id="0">
    <w:p w:rsidR="00B57979" w:rsidRDefault="00B57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07F" w:rsidRDefault="00FD707F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05A4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46DDC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0041"/>
    <w:rsid w:val="000B2659"/>
    <w:rsid w:val="000B51B3"/>
    <w:rsid w:val="000C1383"/>
    <w:rsid w:val="000C28F8"/>
    <w:rsid w:val="000D454B"/>
    <w:rsid w:val="000E0B14"/>
    <w:rsid w:val="000E36DB"/>
    <w:rsid w:val="000E53DE"/>
    <w:rsid w:val="000E7A2A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2F0"/>
    <w:rsid w:val="001A5E4C"/>
    <w:rsid w:val="001A782B"/>
    <w:rsid w:val="001A7CDE"/>
    <w:rsid w:val="001C5B59"/>
    <w:rsid w:val="001C6CF2"/>
    <w:rsid w:val="001D1625"/>
    <w:rsid w:val="001E10C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2E80"/>
    <w:rsid w:val="00253CFD"/>
    <w:rsid w:val="002610BD"/>
    <w:rsid w:val="00267110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35D8A"/>
    <w:rsid w:val="003418B5"/>
    <w:rsid w:val="00351D48"/>
    <w:rsid w:val="00355FBB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035B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4461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246C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2FF1"/>
    <w:rsid w:val="006978F8"/>
    <w:rsid w:val="006A24F5"/>
    <w:rsid w:val="006A2BBD"/>
    <w:rsid w:val="006A4BC0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50F7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93F5B"/>
    <w:rsid w:val="007A46C1"/>
    <w:rsid w:val="007B519E"/>
    <w:rsid w:val="007B55B9"/>
    <w:rsid w:val="007B7AAE"/>
    <w:rsid w:val="007C1463"/>
    <w:rsid w:val="007C1738"/>
    <w:rsid w:val="007C1C46"/>
    <w:rsid w:val="007C63B4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1709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486E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84E60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1F3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2C11"/>
    <w:rsid w:val="00A43FD8"/>
    <w:rsid w:val="00A4565A"/>
    <w:rsid w:val="00A569F3"/>
    <w:rsid w:val="00A56F60"/>
    <w:rsid w:val="00A61DC0"/>
    <w:rsid w:val="00A7338B"/>
    <w:rsid w:val="00A839B2"/>
    <w:rsid w:val="00A86AA6"/>
    <w:rsid w:val="00A86C7F"/>
    <w:rsid w:val="00A952C3"/>
    <w:rsid w:val="00A96F10"/>
    <w:rsid w:val="00AA4B99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AF4480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3D8"/>
    <w:rsid w:val="00B45745"/>
    <w:rsid w:val="00B50C48"/>
    <w:rsid w:val="00B539C5"/>
    <w:rsid w:val="00B5724E"/>
    <w:rsid w:val="00B57979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0F1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42545"/>
    <w:rsid w:val="00E53F78"/>
    <w:rsid w:val="00E60257"/>
    <w:rsid w:val="00E66C4A"/>
    <w:rsid w:val="00E67936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D707F"/>
    <w:rsid w:val="00FE3A36"/>
    <w:rsid w:val="00FF1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CB64D-5CEA-4AEE-977B-6AB78C6B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2024-07-26T02:07:00Z</cp:lastPrinted>
  <dcterms:created xsi:type="dcterms:W3CDTF">2025-02-12T01:54:00Z</dcterms:created>
  <dcterms:modified xsi:type="dcterms:W3CDTF">2025-02-18T02:08:00Z</dcterms:modified>
</cp:coreProperties>
</file>