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4016C3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4016C3">
        <w:rPr>
          <w:rFonts w:ascii="Times New Roman" w:hAnsi="Times New Roman" w:cs="Times New Roman"/>
          <w:sz w:val="26"/>
          <w:szCs w:val="26"/>
        </w:rPr>
        <w:t xml:space="preserve">5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4016C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016C3">
        <w:rPr>
          <w:rFonts w:ascii="Times New Roman" w:hAnsi="Times New Roman" w:cs="Times New Roman"/>
          <w:sz w:val="26"/>
          <w:szCs w:val="26"/>
        </w:rPr>
        <w:t>7</w:t>
      </w:r>
      <w:r w:rsidRPr="00A07485">
        <w:rPr>
          <w:rFonts w:ascii="Times New Roman" w:hAnsi="Times New Roman" w:cs="Times New Roman"/>
          <w:sz w:val="26"/>
          <w:szCs w:val="26"/>
        </w:rPr>
        <w:t>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BC71D1">
        <w:rPr>
          <w:rFonts w:ascii="Times New Roman" w:hAnsi="Times New Roman" w:cs="Times New Roman"/>
          <w:sz w:val="26"/>
          <w:szCs w:val="26"/>
        </w:rPr>
        <w:t>15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BC71D1">
        <w:rPr>
          <w:rFonts w:ascii="Times New Roman" w:hAnsi="Times New Roman" w:cs="Times New Roman"/>
          <w:sz w:val="26"/>
          <w:szCs w:val="26"/>
        </w:rPr>
        <w:t>апреля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4016C3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/>
      </w:tblPr>
      <w:tblGrid>
        <w:gridCol w:w="7626"/>
        <w:gridCol w:w="1604"/>
        <w:gridCol w:w="1575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№1 с. Барабаш Хасанского муниципального округа»</w:t>
            </w: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ипальногоучреждения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BC71D1" w:rsidP="004016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bookmarkStart w:id="1" w:name="_GoBack"/>
            <w:bookmarkEnd w:id="1"/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016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Видмуниципальногоучреждения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офактическомдостижениипоказателей,характеризующих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4016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4016C3">
              <w:rPr>
                <w:sz w:val="20"/>
              </w:rPr>
              <w:t>5</w:t>
            </w:r>
            <w:r w:rsidR="00EA15F5" w:rsidRPr="00096A68">
              <w:rPr>
                <w:sz w:val="20"/>
              </w:rPr>
              <w:t>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обучения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F41F9D" w:rsidRDefault="00380F65" w:rsidP="009D6E92">
            <w:pPr>
              <w:jc w:val="center"/>
            </w:pPr>
            <w:r w:rsidRPr="00F41F9D">
              <w:t>100</w:t>
            </w: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F41F9D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F41F9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C0041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DB0367" w:rsidRPr="00F41F9D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F41F9D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F41F9D">
              <w:rPr>
                <w:szCs w:val="24"/>
              </w:rPr>
              <w:tab/>
            </w:r>
            <w:r w:rsidR="00380F65" w:rsidRPr="00F41F9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F41F9D" w:rsidRDefault="00F41F9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F41F9D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F41F9D" w:rsidRDefault="00201F1C" w:rsidP="001F259D">
            <w:pPr>
              <w:tabs>
                <w:tab w:val="left" w:pos="419"/>
              </w:tabs>
              <w:jc w:val="center"/>
            </w:pPr>
            <w:r w:rsidRPr="00F41F9D">
              <w:t>25</w:t>
            </w:r>
          </w:p>
          <w:p w:rsidR="00FD2846" w:rsidRPr="00F41F9D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F41F9D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F41F9D" w:rsidRDefault="008F6121" w:rsidP="001F259D">
            <w:pPr>
              <w:jc w:val="center"/>
            </w:pPr>
          </w:p>
          <w:p w:rsidR="00B27EC2" w:rsidRPr="00F41F9D" w:rsidRDefault="003673C3" w:rsidP="00F41F9D">
            <w:pPr>
              <w:tabs>
                <w:tab w:val="left" w:pos="445"/>
              </w:tabs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771FFC" w:rsidRDefault="00771FFC" w:rsidP="00771FFC">
            <w:pPr>
              <w:pStyle w:val="ConsPlusNormal"/>
              <w:rPr>
                <w:szCs w:val="24"/>
                <w:lang w:val="en-US"/>
              </w:rPr>
            </w:pPr>
          </w:p>
          <w:p w:rsidR="00771FFC" w:rsidRDefault="00771FFC" w:rsidP="00771FFC">
            <w:pPr>
              <w:pStyle w:val="ConsPlusNormal"/>
              <w:rPr>
                <w:szCs w:val="24"/>
                <w:lang w:val="en-US"/>
              </w:rPr>
            </w:pPr>
          </w:p>
          <w:p w:rsidR="00FD2846" w:rsidRPr="00771FFC" w:rsidRDefault="00771FFC" w:rsidP="00771FFC">
            <w:pPr>
              <w:pStyle w:val="ConsPlusNormal"/>
              <w:rPr>
                <w:szCs w:val="24"/>
                <w:lang w:val="en-US"/>
              </w:rPr>
            </w:pPr>
            <w:r w:rsidRPr="00771FFC">
              <w:rPr>
                <w:szCs w:val="24"/>
                <w:lang w:val="en-US"/>
              </w:rPr>
              <w:t>&gt; 5</w:t>
            </w:r>
          </w:p>
        </w:tc>
        <w:tc>
          <w:tcPr>
            <w:tcW w:w="1000" w:type="dxa"/>
          </w:tcPr>
          <w:p w:rsidR="00FD2846" w:rsidRPr="003673C3" w:rsidRDefault="003673C3" w:rsidP="001137B8">
            <w:pPr>
              <w:pStyle w:val="ConsPlusNormal"/>
              <w:rPr>
                <w:sz w:val="16"/>
                <w:szCs w:val="16"/>
              </w:rPr>
            </w:pPr>
            <w:r w:rsidRPr="003673C3">
              <w:rPr>
                <w:sz w:val="16"/>
                <w:szCs w:val="16"/>
              </w:rPr>
              <w:t>Нежелание возрастных педагогов подтверждать свою квалификацию</w:t>
            </w: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C0041D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3673C3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jc w:val="center"/>
            </w:pPr>
          </w:p>
          <w:p w:rsidR="00FD2846" w:rsidRPr="00F41F9D" w:rsidRDefault="00790C24" w:rsidP="001F259D">
            <w:pPr>
              <w:jc w:val="center"/>
            </w:pPr>
            <w:r w:rsidRPr="00F41F9D">
              <w:t>5</w:t>
            </w:r>
          </w:p>
        </w:tc>
        <w:tc>
          <w:tcPr>
            <w:tcW w:w="993" w:type="dxa"/>
          </w:tcPr>
          <w:p w:rsidR="00771FFC" w:rsidRDefault="00771FFC" w:rsidP="00771FFC">
            <w:pPr>
              <w:pStyle w:val="ConsPlusNormal"/>
              <w:rPr>
                <w:szCs w:val="24"/>
                <w:lang w:val="en-US"/>
              </w:rPr>
            </w:pPr>
          </w:p>
          <w:p w:rsidR="00771FFC" w:rsidRDefault="00771FFC" w:rsidP="00771FFC">
            <w:pPr>
              <w:pStyle w:val="ConsPlusNormal"/>
              <w:rPr>
                <w:szCs w:val="24"/>
                <w:lang w:val="en-US"/>
              </w:rPr>
            </w:pPr>
          </w:p>
          <w:p w:rsidR="00FD2846" w:rsidRPr="00771FFC" w:rsidRDefault="00FD2846" w:rsidP="00771FFC">
            <w:pPr>
              <w:pStyle w:val="ConsPlusNormal"/>
              <w:rPr>
                <w:szCs w:val="24"/>
                <w:highlight w:val="yellow"/>
                <w:lang w:val="en-US"/>
              </w:rPr>
            </w:pPr>
          </w:p>
        </w:tc>
        <w:tc>
          <w:tcPr>
            <w:tcW w:w="1000" w:type="dxa"/>
          </w:tcPr>
          <w:p w:rsidR="00FD2846" w:rsidRPr="003673C3" w:rsidRDefault="00FD2846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3673C3" w:rsidP="0059535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DB0367" w:rsidRPr="00F41F9D" w:rsidRDefault="00790C24" w:rsidP="00C24840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FD2846" w:rsidRPr="00F41F9D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F41F9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  <w:p w:rsidR="00B60D68" w:rsidRPr="00F41F9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C0041D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380F6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CD5F45" w:rsidRDefault="000701AC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3673C3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790C24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CD5F45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CD5F45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137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3673C3" w:rsidRDefault="003673C3" w:rsidP="003673C3">
            <w:pPr>
              <w:pStyle w:val="ConsPlusNormal"/>
              <w:rPr>
                <w:sz w:val="16"/>
                <w:szCs w:val="16"/>
                <w:lang w:val="en-US"/>
              </w:rPr>
            </w:pPr>
          </w:p>
          <w:p w:rsidR="003673C3" w:rsidRDefault="003673C3" w:rsidP="003673C3">
            <w:pPr>
              <w:pStyle w:val="ConsPlusNormal"/>
              <w:rPr>
                <w:sz w:val="16"/>
                <w:szCs w:val="16"/>
                <w:lang w:val="en-US"/>
              </w:rPr>
            </w:pPr>
          </w:p>
          <w:p w:rsidR="003673C3" w:rsidRDefault="003673C3" w:rsidP="003673C3">
            <w:pPr>
              <w:pStyle w:val="ConsPlusNormal"/>
              <w:rPr>
                <w:sz w:val="16"/>
                <w:szCs w:val="16"/>
                <w:lang w:val="en-US"/>
              </w:rPr>
            </w:pPr>
          </w:p>
          <w:p w:rsidR="00CD5F45" w:rsidRPr="003673C3" w:rsidRDefault="003673C3" w:rsidP="003673C3">
            <w:pPr>
              <w:pStyle w:val="ConsPlusNormal"/>
              <w:rPr>
                <w:szCs w:val="24"/>
                <w:lang w:val="en-US"/>
              </w:rPr>
            </w:pPr>
            <w:r w:rsidRPr="003673C3">
              <w:rPr>
                <w:szCs w:val="24"/>
                <w:lang w:val="en-US"/>
              </w:rPr>
              <w:t>&gt; 5</w:t>
            </w: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CD5F45">
              <w:rPr>
                <w:sz w:val="16"/>
                <w:szCs w:val="16"/>
              </w:rPr>
              <w:t>Нежелание возрастных педагогов подтверж-дать квалификацию</w:t>
            </w:r>
            <w:r w:rsidR="00C24840">
              <w:rPr>
                <w:sz w:val="16"/>
                <w:szCs w:val="16"/>
              </w:rPr>
              <w:t>.</w:t>
            </w:r>
          </w:p>
        </w:tc>
      </w:tr>
      <w:tr w:rsidR="00CD5F45" w:rsidRPr="00096A68" w:rsidTr="007A46C1">
        <w:trPr>
          <w:trHeight w:val="65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0041D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13,6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rPr>
                <w:szCs w:val="24"/>
              </w:rPr>
            </w:pPr>
          </w:p>
          <w:p w:rsidR="00CD5F45" w:rsidRPr="00CD5F45" w:rsidRDefault="003673C3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14,2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61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7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</w:r>
          </w:p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1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3673C3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CD5F45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35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Доля обучающихся, закончивших учебный годна 4 и 5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3</w:t>
            </w:r>
            <w:r w:rsidR="003673C3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911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30</w:t>
            </w: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3673C3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3B5BF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33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4016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заданиина </w:t>
            </w:r>
            <w:r w:rsidR="00105014" w:rsidRPr="00096A68">
              <w:rPr>
                <w:sz w:val="20"/>
              </w:rPr>
              <w:t>202</w:t>
            </w:r>
            <w:r w:rsidR="004016C3">
              <w:rPr>
                <w:sz w:val="20"/>
              </w:rPr>
              <w:t>5</w:t>
            </w:r>
            <w:r w:rsidRPr="00096A68">
              <w:rPr>
                <w:sz w:val="20"/>
              </w:rPr>
              <w:t>год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(наименование </w:t>
            </w:r>
            <w:r w:rsidRPr="00096A68">
              <w:rPr>
                <w:sz w:val="20"/>
              </w:rPr>
              <w:lastRenderedPageBreak/>
              <w:t>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016C3">
        <w:trPr>
          <w:trHeight w:val="1130"/>
        </w:trPr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9C53B8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E077EC" w:rsidP="00C428E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64</w:t>
            </w:r>
          </w:p>
        </w:tc>
        <w:tc>
          <w:tcPr>
            <w:tcW w:w="902" w:type="dxa"/>
          </w:tcPr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6D50AD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3673C3">
              <w:rPr>
                <w:szCs w:val="24"/>
              </w:rPr>
              <w:t>8</w:t>
            </w: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3673C3" w:rsidRDefault="003673C3" w:rsidP="003673C3">
            <w:pPr>
              <w:pStyle w:val="ConsPlusNormal"/>
              <w:rPr>
                <w:sz w:val="20"/>
                <w:lang w:val="en-US"/>
              </w:rPr>
            </w:pPr>
          </w:p>
          <w:p w:rsidR="003673C3" w:rsidRDefault="003673C3" w:rsidP="003673C3">
            <w:pPr>
              <w:pStyle w:val="ConsPlusNormal"/>
              <w:rPr>
                <w:sz w:val="20"/>
                <w:lang w:val="en-US"/>
              </w:rPr>
            </w:pPr>
          </w:p>
          <w:p w:rsidR="003673C3" w:rsidRDefault="003673C3" w:rsidP="003673C3">
            <w:pPr>
              <w:pStyle w:val="ConsPlusNormal"/>
              <w:rPr>
                <w:sz w:val="20"/>
                <w:lang w:val="en-US"/>
              </w:rPr>
            </w:pPr>
          </w:p>
          <w:p w:rsidR="00805AFD" w:rsidRPr="003673C3" w:rsidRDefault="003673C3" w:rsidP="003673C3">
            <w:pPr>
              <w:pStyle w:val="ConsPlusNormal"/>
              <w:rPr>
                <w:szCs w:val="24"/>
                <w:lang w:val="en-US"/>
              </w:rPr>
            </w:pPr>
            <w:r w:rsidRPr="003673C3">
              <w:rPr>
                <w:szCs w:val="24"/>
                <w:lang w:val="en-US"/>
              </w:rPr>
              <w:t>&gt; 5</w:t>
            </w:r>
          </w:p>
        </w:tc>
        <w:tc>
          <w:tcPr>
            <w:tcW w:w="864" w:type="dxa"/>
          </w:tcPr>
          <w:p w:rsidR="00805AFD" w:rsidRPr="003673C3" w:rsidRDefault="003673C3" w:rsidP="00805AFD">
            <w:pPr>
              <w:pStyle w:val="ConsPlusNormal"/>
              <w:rPr>
                <w:sz w:val="16"/>
                <w:szCs w:val="16"/>
              </w:rPr>
            </w:pPr>
            <w:r w:rsidRPr="003673C3">
              <w:rPr>
                <w:sz w:val="16"/>
                <w:szCs w:val="16"/>
              </w:rPr>
              <w:t>Перевод детей в МБОУ СОШ № 2 с. Барабаш, переезд семей</w:t>
            </w:r>
            <w:r>
              <w:rPr>
                <w:sz w:val="16"/>
                <w:szCs w:val="16"/>
              </w:rPr>
              <w:t xml:space="preserve"> в другой район</w:t>
            </w: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E077EC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4016C3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E077EC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E077EC" w:rsidRDefault="003673C3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71</w:t>
            </w:r>
          </w:p>
          <w:p w:rsidR="00560858" w:rsidRPr="00E077EC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A8799A" w:rsidRDefault="006A7558" w:rsidP="00805AFD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E077EC" w:rsidRDefault="004016C3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E077EC" w:rsidRDefault="00E077EC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офактическомдостижениипоказателей,характеризующих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27BC3" w:rsidRDefault="00127BC3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127BC3">
        <w:rPr>
          <w:rFonts w:ascii="Times New Roman" w:hAnsi="Times New Roman" w:cs="Times New Roman"/>
          <w:sz w:val="26"/>
          <w:szCs w:val="26"/>
        </w:rPr>
        <w:t>С.А. Соколова</w:t>
      </w:r>
    </w:p>
    <w:p w:rsidR="00805AFD" w:rsidRPr="00096A68" w:rsidRDefault="00E86654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sectPr w:rsidR="00805AFD" w:rsidRPr="00096A68" w:rsidSect="00127BC3">
      <w:headerReference w:type="first" r:id="rId16"/>
      <w:pgSz w:w="16838" w:h="11905" w:orient="landscape"/>
      <w:pgMar w:top="1276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9E9" w:rsidRDefault="004739E9">
      <w:r>
        <w:separator/>
      </w:r>
    </w:p>
  </w:endnote>
  <w:endnote w:type="continuationSeparator" w:id="1">
    <w:p w:rsidR="004739E9" w:rsidRDefault="00473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9E9" w:rsidRDefault="004739E9">
      <w:r>
        <w:separator/>
      </w:r>
    </w:p>
  </w:footnote>
  <w:footnote w:type="continuationSeparator" w:id="1">
    <w:p w:rsidR="004739E9" w:rsidRDefault="00473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3C3" w:rsidRDefault="003673C3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3185944"/>
    <w:multiLevelType w:val="hybridMultilevel"/>
    <w:tmpl w:val="BD282520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67163"/>
    <w:multiLevelType w:val="hybridMultilevel"/>
    <w:tmpl w:val="CB1A428C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A64E3"/>
    <w:multiLevelType w:val="hybridMultilevel"/>
    <w:tmpl w:val="F6E6A000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C1149"/>
    <w:multiLevelType w:val="hybridMultilevel"/>
    <w:tmpl w:val="5A76C340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990"/>
    <w:rsid w:val="00002510"/>
    <w:rsid w:val="00004A8A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07CE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B6C46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27BC3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F1C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673C3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5BF8"/>
    <w:rsid w:val="003B647F"/>
    <w:rsid w:val="003C1298"/>
    <w:rsid w:val="003C7DBC"/>
    <w:rsid w:val="003D0DF3"/>
    <w:rsid w:val="003D1F29"/>
    <w:rsid w:val="003D29E0"/>
    <w:rsid w:val="003D72A7"/>
    <w:rsid w:val="003E5781"/>
    <w:rsid w:val="003E5BF1"/>
    <w:rsid w:val="003E6DCB"/>
    <w:rsid w:val="003F0B5F"/>
    <w:rsid w:val="003F21B3"/>
    <w:rsid w:val="003F22D0"/>
    <w:rsid w:val="004016C3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739E9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19A2"/>
    <w:rsid w:val="00555FB1"/>
    <w:rsid w:val="005562CF"/>
    <w:rsid w:val="00560858"/>
    <w:rsid w:val="00580204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1C14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D50AD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1FFC"/>
    <w:rsid w:val="007727D1"/>
    <w:rsid w:val="007744DC"/>
    <w:rsid w:val="00780470"/>
    <w:rsid w:val="007819FE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04D7"/>
    <w:rsid w:val="007D2B4D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1D32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A6B9E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3E42"/>
    <w:rsid w:val="00A56F60"/>
    <w:rsid w:val="00A61DC0"/>
    <w:rsid w:val="00A7338B"/>
    <w:rsid w:val="00A73B95"/>
    <w:rsid w:val="00A86AA6"/>
    <w:rsid w:val="00A86C7F"/>
    <w:rsid w:val="00A8799A"/>
    <w:rsid w:val="00A952C3"/>
    <w:rsid w:val="00A96F10"/>
    <w:rsid w:val="00AA7B73"/>
    <w:rsid w:val="00AB136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5745"/>
    <w:rsid w:val="00B46F69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CBE"/>
    <w:rsid w:val="00BC5486"/>
    <w:rsid w:val="00BC71D1"/>
    <w:rsid w:val="00BD2F08"/>
    <w:rsid w:val="00BE3526"/>
    <w:rsid w:val="00BE74F3"/>
    <w:rsid w:val="00BF6C90"/>
    <w:rsid w:val="00C0041D"/>
    <w:rsid w:val="00C04FFC"/>
    <w:rsid w:val="00C12A63"/>
    <w:rsid w:val="00C13F8E"/>
    <w:rsid w:val="00C157F6"/>
    <w:rsid w:val="00C237DE"/>
    <w:rsid w:val="00C24840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5F4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425"/>
    <w:rsid w:val="00D76CE9"/>
    <w:rsid w:val="00D847D6"/>
    <w:rsid w:val="00D92949"/>
    <w:rsid w:val="00DB0367"/>
    <w:rsid w:val="00DC44F9"/>
    <w:rsid w:val="00DC5255"/>
    <w:rsid w:val="00DC75EB"/>
    <w:rsid w:val="00DD0126"/>
    <w:rsid w:val="00DE14C6"/>
    <w:rsid w:val="00DE1F02"/>
    <w:rsid w:val="00DE7208"/>
    <w:rsid w:val="00DF2878"/>
    <w:rsid w:val="00E07327"/>
    <w:rsid w:val="00E077EC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86654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B37BD"/>
    <w:rsid w:val="00EC12D5"/>
    <w:rsid w:val="00EC38A3"/>
    <w:rsid w:val="00ED2A0C"/>
    <w:rsid w:val="00ED3D3A"/>
    <w:rsid w:val="00ED4531"/>
    <w:rsid w:val="00ED57EF"/>
    <w:rsid w:val="00ED6D11"/>
    <w:rsid w:val="00EE1DF7"/>
    <w:rsid w:val="00EF4F6E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1F9D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319E"/>
    <w:rsid w:val="00F95BFC"/>
    <w:rsid w:val="00FA1BF3"/>
    <w:rsid w:val="00FA43C5"/>
    <w:rsid w:val="00FA4EC0"/>
    <w:rsid w:val="00FA7808"/>
    <w:rsid w:val="00FB05EE"/>
    <w:rsid w:val="00FB0CB3"/>
    <w:rsid w:val="00FB1AE1"/>
    <w:rsid w:val="00FB3E07"/>
    <w:rsid w:val="00FC108C"/>
    <w:rsid w:val="00FC2EA0"/>
    <w:rsid w:val="00FC51ED"/>
    <w:rsid w:val="00FC5F34"/>
    <w:rsid w:val="00FC753A"/>
    <w:rsid w:val="00FC7FA4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3CC2-584A-4679-AF2D-C494C764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direktorschool</cp:lastModifiedBy>
  <cp:revision>24</cp:revision>
  <cp:lastPrinted>2025-04-14T09:36:00Z</cp:lastPrinted>
  <dcterms:created xsi:type="dcterms:W3CDTF">2023-06-28T06:01:00Z</dcterms:created>
  <dcterms:modified xsi:type="dcterms:W3CDTF">2025-04-14T09:38:00Z</dcterms:modified>
</cp:coreProperties>
</file>